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C3BFD0">
      <w:pPr>
        <w:spacing w:line="360" w:lineRule="auto"/>
        <w:rPr>
          <w:rFonts w:hint="eastAsia" w:ascii="Times New Roman" w:hAnsi="Times New Roman" w:cs="Times New Roman" w:eastAsiaTheme="minorEastAsia"/>
          <w:sz w:val="18"/>
          <w:szCs w:val="18"/>
        </w:rPr>
      </w:pPr>
      <w:r>
        <w:rPr>
          <w:rFonts w:ascii="Times New Roman" w:hAnsi="Times New Roman" w:cs="Times New Roman" w:eastAsiaTheme="minorEastAsia"/>
          <w:sz w:val="18"/>
          <w:szCs w:val="18"/>
        </w:rPr>
        <w:t>编号：</w:t>
      </w:r>
      <w:r>
        <w:rPr>
          <w:rFonts w:hint="eastAsia" w:ascii="Times New Roman" w:hAnsi="Times New Roman" w:cs="Times New Roman" w:eastAsiaTheme="minorEastAsia"/>
          <w:sz w:val="18"/>
          <w:szCs w:val="18"/>
        </w:rPr>
        <w:t>20261020-27</w:t>
      </w:r>
    </w:p>
    <w:p w14:paraId="677CC19A">
      <w:pPr>
        <w:spacing w:line="360" w:lineRule="auto"/>
        <w:rPr>
          <w:rFonts w:ascii="Times New Roman" w:hAnsi="Times New Roman" w:cs="Times New Roman" w:eastAsiaTheme="minorEastAsia"/>
          <w:sz w:val="18"/>
          <w:szCs w:val="18"/>
        </w:rPr>
      </w:pPr>
      <w:r>
        <w:rPr>
          <w:rFonts w:ascii="Times New Roman" w:hAnsi="Times New Roman" w:cs="Times New Roman" w:eastAsiaTheme="minorEastAsia"/>
          <w:sz w:val="18"/>
          <w:szCs w:val="18"/>
        </w:rPr>
        <w:t>说明</w:t>
      </w:r>
    </w:p>
    <w:p w14:paraId="381C156D">
      <w:pPr>
        <w:spacing w:line="360" w:lineRule="auto"/>
        <w:rPr>
          <w:rFonts w:ascii="Times New Roman" w:hAnsi="Times New Roman" w:cs="Times New Roman" w:eastAsiaTheme="minorEastAsia"/>
          <w:sz w:val="18"/>
          <w:szCs w:val="18"/>
        </w:rPr>
      </w:pPr>
      <w:r>
        <w:rPr>
          <w:rFonts w:ascii="Times New Roman" w:hAnsi="Times New Roman" w:cs="Times New Roman" w:eastAsiaTheme="minorEastAsia"/>
          <w:sz w:val="18"/>
          <w:szCs w:val="18"/>
        </w:rPr>
        <w:t>1.  产品须为</w:t>
      </w:r>
      <w:r>
        <w:rPr>
          <w:rFonts w:ascii="Times New Roman" w:hAnsi="Times New Roman" w:cs="Times New Roman" w:eastAsiaTheme="minorEastAsia"/>
          <w:b/>
          <w:sz w:val="18"/>
          <w:szCs w:val="18"/>
        </w:rPr>
        <w:t>原装正品、新品</w:t>
      </w:r>
      <w:r>
        <w:rPr>
          <w:rFonts w:ascii="Times New Roman" w:hAnsi="Times New Roman" w:cs="Times New Roman" w:eastAsiaTheme="minorEastAsia"/>
          <w:sz w:val="18"/>
          <w:szCs w:val="18"/>
        </w:rPr>
        <w:t>，相关</w:t>
      </w:r>
      <w:r>
        <w:rPr>
          <w:rFonts w:hint="eastAsia" w:ascii="Times New Roman" w:hAnsi="Times New Roman" w:cs="Times New Roman" w:eastAsiaTheme="minorEastAsia"/>
          <w:sz w:val="18"/>
          <w:szCs w:val="18"/>
        </w:rPr>
        <w:t>约定</w:t>
      </w:r>
      <w:r>
        <w:rPr>
          <w:rFonts w:ascii="Times New Roman" w:hAnsi="Times New Roman" w:cs="Times New Roman" w:eastAsiaTheme="minorEastAsia"/>
          <w:sz w:val="18"/>
          <w:szCs w:val="18"/>
        </w:rPr>
        <w:t>的配套附件质量优良，数量齐全。</w:t>
      </w:r>
    </w:p>
    <w:p w14:paraId="286EC054">
      <w:pPr>
        <w:spacing w:line="360" w:lineRule="auto"/>
        <w:rPr>
          <w:rFonts w:ascii="Times New Roman" w:hAnsi="Times New Roman" w:cs="Times New Roman" w:eastAsiaTheme="minorEastAsia"/>
          <w:sz w:val="18"/>
          <w:szCs w:val="18"/>
        </w:rPr>
      </w:pPr>
      <w:r>
        <w:rPr>
          <w:rFonts w:ascii="Times New Roman" w:hAnsi="Times New Roman" w:cs="Times New Roman" w:eastAsiaTheme="minorEastAsia"/>
          <w:sz w:val="18"/>
          <w:szCs w:val="18"/>
        </w:rPr>
        <w:t xml:space="preserve">2.  </w:t>
      </w:r>
      <w:r>
        <w:rPr>
          <w:rFonts w:ascii="Times New Roman" w:hAnsi="Times New Roman" w:cs="Times New Roman" w:eastAsiaTheme="minorEastAsia"/>
          <w:b/>
          <w:sz w:val="18"/>
          <w:szCs w:val="18"/>
        </w:rPr>
        <w:t>响应价格</w:t>
      </w:r>
      <w:r>
        <w:rPr>
          <w:rFonts w:ascii="Times New Roman" w:hAnsi="Times New Roman" w:cs="Times New Roman" w:eastAsiaTheme="minorEastAsia"/>
          <w:sz w:val="18"/>
          <w:szCs w:val="18"/>
        </w:rPr>
        <w:t>，应报产品送到的实际交货地（校内指定地点）的价格，包括运保费、税费、</w:t>
      </w:r>
      <w:r>
        <w:rPr>
          <w:rFonts w:hint="eastAsia" w:ascii="Times New Roman" w:hAnsi="Times New Roman" w:cs="Times New Roman" w:eastAsiaTheme="minorEastAsia"/>
          <w:sz w:val="18"/>
          <w:szCs w:val="18"/>
        </w:rPr>
        <w:t>配件/附件费、</w:t>
      </w:r>
      <w:r>
        <w:rPr>
          <w:rFonts w:ascii="Times New Roman" w:hAnsi="Times New Roman" w:cs="Times New Roman" w:eastAsiaTheme="minorEastAsia"/>
          <w:sz w:val="18"/>
          <w:szCs w:val="18"/>
        </w:rPr>
        <w:t>材料费、培训费、装卸费、安装调试费等所有费用。</w:t>
      </w:r>
    </w:p>
    <w:p w14:paraId="3BD5262A">
      <w:pPr>
        <w:spacing w:line="360" w:lineRule="auto"/>
        <w:rPr>
          <w:rFonts w:ascii="Times New Roman" w:hAnsi="Times New Roman" w:cs="Times New Roman" w:eastAsiaTheme="minorEastAsia"/>
          <w:sz w:val="18"/>
          <w:szCs w:val="18"/>
        </w:rPr>
      </w:pPr>
      <w:r>
        <w:rPr>
          <w:rFonts w:ascii="Times New Roman" w:hAnsi="Times New Roman" w:cs="Times New Roman" w:eastAsiaTheme="minorEastAsia"/>
          <w:sz w:val="18"/>
          <w:szCs w:val="18"/>
        </w:rPr>
        <w:t>3.  表中所指套（件）系指该产品完备配置。响应方视仪器设备的具体情况，必须提供满足招标方正常使用仪器的必要配置及附件（如需必要，请在表中附注）。我方也视其报价为此设备的完备配置。因设备配置的不完整所带来的设备无法验收而致使的退货等所有费用由供方负责。</w:t>
      </w:r>
    </w:p>
    <w:p w14:paraId="7B25F651">
      <w:pPr>
        <w:spacing w:line="360" w:lineRule="auto"/>
        <w:rPr>
          <w:rFonts w:ascii="Times New Roman" w:hAnsi="Times New Roman" w:cs="Times New Roman" w:eastAsiaTheme="minorEastAsia"/>
          <w:sz w:val="18"/>
          <w:szCs w:val="18"/>
        </w:rPr>
      </w:pPr>
      <w:r>
        <w:rPr>
          <w:rFonts w:ascii="Times New Roman" w:hAnsi="Times New Roman" w:cs="Times New Roman" w:eastAsiaTheme="minorEastAsia"/>
          <w:sz w:val="18"/>
          <w:szCs w:val="18"/>
        </w:rPr>
        <w:t>4.  付款方式：设备（产品）验收合格后支付合同总额的</w:t>
      </w:r>
      <w:r>
        <w:rPr>
          <w:rFonts w:ascii="Times New Roman" w:hAnsi="Times New Roman" w:cs="Times New Roman" w:eastAsiaTheme="minorEastAsia"/>
          <w:b/>
          <w:sz w:val="18"/>
          <w:szCs w:val="18"/>
        </w:rPr>
        <w:t>100%</w:t>
      </w:r>
      <w:r>
        <w:rPr>
          <w:rFonts w:ascii="Times New Roman" w:hAnsi="Times New Roman" w:cs="Times New Roman" w:eastAsiaTheme="minorEastAsia"/>
          <w:sz w:val="18"/>
          <w:szCs w:val="18"/>
        </w:rPr>
        <w:t>。</w:t>
      </w:r>
    </w:p>
    <w:p w14:paraId="7A677231">
      <w:pPr>
        <w:spacing w:line="360" w:lineRule="auto"/>
        <w:rPr>
          <w:rFonts w:ascii="Times New Roman" w:hAnsi="Times New Roman" w:cs="Times New Roman" w:eastAsiaTheme="minorEastAsia"/>
          <w:sz w:val="18"/>
          <w:szCs w:val="18"/>
        </w:rPr>
      </w:pPr>
      <w:r>
        <w:rPr>
          <w:rFonts w:ascii="Times New Roman" w:hAnsi="Times New Roman" w:cs="Times New Roman" w:eastAsiaTheme="minorEastAsia"/>
          <w:sz w:val="18"/>
          <w:szCs w:val="18"/>
        </w:rPr>
        <w:t>5.  质保期：不少于</w:t>
      </w:r>
      <w:r>
        <w:rPr>
          <w:rFonts w:ascii="Times New Roman" w:hAnsi="Times New Roman" w:cs="Times New Roman" w:eastAsiaTheme="minorEastAsia"/>
          <w:b/>
          <w:sz w:val="18"/>
          <w:szCs w:val="18"/>
        </w:rPr>
        <w:t>三</w:t>
      </w:r>
      <w:r>
        <w:rPr>
          <w:rFonts w:ascii="Times New Roman" w:hAnsi="Times New Roman" w:cs="Times New Roman" w:eastAsiaTheme="minorEastAsia"/>
          <w:sz w:val="18"/>
          <w:szCs w:val="18"/>
        </w:rPr>
        <w:t>年。</w:t>
      </w:r>
    </w:p>
    <w:p w14:paraId="6D94A9E0">
      <w:pPr>
        <w:spacing w:line="360" w:lineRule="auto"/>
        <w:rPr>
          <w:rFonts w:ascii="Times New Roman" w:hAnsi="Times New Roman" w:cs="Times New Roman"/>
          <w:sz w:val="18"/>
          <w:szCs w:val="18"/>
          <w:highlight w:val="none"/>
        </w:rPr>
      </w:pPr>
      <w:r>
        <w:rPr>
          <w:rFonts w:ascii="Times New Roman" w:hAnsi="Times New Roman" w:cs="Times New Roman" w:eastAsiaTheme="minorEastAsia"/>
          <w:sz w:val="18"/>
          <w:szCs w:val="18"/>
          <w:highlight w:val="none"/>
        </w:rPr>
        <w:t>6.  响应文件密封后2026年</w:t>
      </w:r>
      <w:r>
        <w:rPr>
          <w:rFonts w:hint="eastAsia" w:ascii="Times New Roman" w:hAnsi="Times New Roman" w:cs="Times New Roman" w:eastAsiaTheme="minorEastAsia"/>
          <w:sz w:val="18"/>
          <w:szCs w:val="18"/>
          <w:highlight w:val="none"/>
          <w:lang w:val="en-US" w:eastAsia="zh-CN"/>
        </w:rPr>
        <w:t>10</w:t>
      </w:r>
      <w:r>
        <w:rPr>
          <w:rFonts w:ascii="Times New Roman" w:hAnsi="Times New Roman" w:cs="Times New Roman" w:eastAsiaTheme="minorEastAsia"/>
          <w:sz w:val="18"/>
          <w:szCs w:val="18"/>
          <w:highlight w:val="none"/>
        </w:rPr>
        <w:t>月</w:t>
      </w:r>
      <w:r>
        <w:rPr>
          <w:rFonts w:hint="eastAsia" w:ascii="Times New Roman" w:hAnsi="Times New Roman" w:cs="Times New Roman" w:eastAsiaTheme="minorEastAsia"/>
          <w:sz w:val="18"/>
          <w:szCs w:val="18"/>
          <w:highlight w:val="none"/>
          <w:lang w:val="en-US" w:eastAsia="zh-CN"/>
        </w:rPr>
        <w:t>26</w:t>
      </w:r>
      <w:r>
        <w:rPr>
          <w:rFonts w:ascii="Times New Roman" w:hAnsi="Times New Roman" w:cs="Times New Roman" w:eastAsiaTheme="minorEastAsia"/>
          <w:sz w:val="18"/>
          <w:szCs w:val="18"/>
          <w:highlight w:val="none"/>
        </w:rPr>
        <w:t>日16点前送到江苏师范大学泉山校区</w:t>
      </w:r>
      <w:r>
        <w:rPr>
          <w:rFonts w:hint="eastAsia" w:ascii="Times New Roman" w:hAnsi="Times New Roman" w:cs="Times New Roman" w:eastAsiaTheme="minorEastAsia"/>
          <w:sz w:val="18"/>
          <w:szCs w:val="18"/>
          <w:highlight w:val="none"/>
        </w:rPr>
        <w:t>教</w:t>
      </w:r>
      <w:r>
        <w:rPr>
          <w:rFonts w:hint="eastAsia" w:ascii="Times New Roman" w:hAnsi="Times New Roman" w:cs="Times New Roman" w:eastAsiaTheme="minorEastAsia"/>
          <w:sz w:val="18"/>
          <w:szCs w:val="18"/>
          <w:highlight w:val="none"/>
          <w:lang w:val="en-US" w:eastAsia="zh-CN"/>
        </w:rPr>
        <w:t>35</w:t>
      </w:r>
      <w:r>
        <w:rPr>
          <w:rFonts w:ascii="Times New Roman" w:hAnsi="Times New Roman" w:cs="Times New Roman" w:eastAsiaTheme="minorEastAsia"/>
          <w:sz w:val="18"/>
          <w:szCs w:val="18"/>
          <w:highlight w:val="none"/>
        </w:rPr>
        <w:t>号楼</w:t>
      </w:r>
      <w:r>
        <w:rPr>
          <w:rFonts w:hint="eastAsia" w:ascii="Times New Roman" w:hAnsi="Times New Roman" w:cs="Times New Roman" w:eastAsiaTheme="minorEastAsia"/>
          <w:sz w:val="18"/>
          <w:szCs w:val="18"/>
          <w:highlight w:val="none"/>
          <w:lang w:val="en-US" w:eastAsia="zh-CN"/>
        </w:rPr>
        <w:t>307</w:t>
      </w:r>
      <w:r>
        <w:rPr>
          <w:rFonts w:ascii="Times New Roman" w:hAnsi="Times New Roman" w:cs="Times New Roman" w:eastAsiaTheme="minorEastAsia"/>
          <w:sz w:val="18"/>
          <w:szCs w:val="18"/>
          <w:highlight w:val="none"/>
        </w:rPr>
        <w:t>办公室，联系人</w:t>
      </w:r>
      <w:r>
        <w:rPr>
          <w:rFonts w:hint="eastAsia" w:ascii="Times New Roman" w:hAnsi="Times New Roman" w:cs="Times New Roman" w:eastAsiaTheme="minorEastAsia"/>
          <w:sz w:val="18"/>
          <w:szCs w:val="18"/>
          <w:highlight w:val="none"/>
          <w:lang w:val="en-US" w:eastAsia="zh-CN"/>
        </w:rPr>
        <w:t>祖</w:t>
      </w:r>
      <w:r>
        <w:rPr>
          <w:rFonts w:ascii="Times New Roman" w:hAnsi="Times New Roman" w:cs="Times New Roman" w:eastAsiaTheme="minorEastAsia"/>
          <w:sz w:val="18"/>
          <w:szCs w:val="18"/>
          <w:highlight w:val="none"/>
        </w:rPr>
        <w:t>老师，</w:t>
      </w:r>
      <w:r>
        <w:rPr>
          <w:rFonts w:hint="eastAsia" w:ascii="Times New Roman" w:hAnsi="Times New Roman" w:cs="Times New Roman" w:eastAsiaTheme="minorEastAsia"/>
          <w:sz w:val="18"/>
          <w:szCs w:val="18"/>
          <w:highlight w:val="none"/>
          <w:lang w:val="en-US" w:eastAsia="zh-CN"/>
        </w:rPr>
        <w:t>15190663431</w:t>
      </w:r>
      <w:r>
        <w:rPr>
          <w:rFonts w:ascii="Times New Roman" w:hAnsi="Times New Roman" w:cs="Times New Roman" w:eastAsiaTheme="minorEastAsia"/>
          <w:sz w:val="18"/>
          <w:szCs w:val="18"/>
          <w:highlight w:val="none"/>
        </w:rPr>
        <w:t>。</w:t>
      </w:r>
    </w:p>
    <w:p w14:paraId="55046085">
      <w:pPr>
        <w:spacing w:line="360" w:lineRule="auto"/>
        <w:rPr>
          <w:rFonts w:hint="eastAsia" w:ascii="Times New Roman" w:hAnsi="Times New Roman" w:cs="Times New Roman" w:eastAsiaTheme="minorEastAsia"/>
          <w:sz w:val="18"/>
          <w:szCs w:val="18"/>
          <w:highlight w:val="none"/>
          <w:lang w:val="en-US" w:eastAsia="zh-CN"/>
        </w:rPr>
      </w:pPr>
      <w:r>
        <w:rPr>
          <w:rFonts w:hint="eastAsia" w:ascii="Times New Roman" w:hAnsi="Times New Roman" w:cs="Times New Roman"/>
          <w:sz w:val="18"/>
          <w:szCs w:val="18"/>
          <w:highlight w:val="none"/>
          <w:lang w:val="en-US" w:eastAsia="zh-CN"/>
        </w:rPr>
        <w:t>7.  总</w:t>
      </w:r>
      <w:r>
        <w:rPr>
          <w:rFonts w:hint="eastAsia" w:ascii="Times New Roman" w:hAnsi="Times New Roman" w:cs="Times New Roman" w:eastAsiaTheme="minorEastAsia"/>
          <w:sz w:val="18"/>
          <w:szCs w:val="18"/>
          <w:highlight w:val="none"/>
          <w:lang w:val="en-US" w:eastAsia="zh-CN"/>
        </w:rPr>
        <w:t>预算不高于51000元。</w:t>
      </w:r>
    </w:p>
    <w:p w14:paraId="1BFD3560">
      <w:pPr>
        <w:spacing w:line="360" w:lineRule="auto"/>
        <w:rPr>
          <w:rFonts w:hint="eastAsia"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highlight w:val="none"/>
          <w:lang w:val="en-US" w:eastAsia="zh-CN"/>
        </w:rPr>
        <w:t>8.</w:t>
      </w:r>
      <w:r>
        <w:rPr>
          <w:rFonts w:hint="eastAsia" w:ascii="Times New Roman" w:hAnsi="Times New Roman" w:cs="Times New Roman" w:eastAsiaTheme="minorEastAsia"/>
          <w:sz w:val="18"/>
          <w:szCs w:val="18"/>
          <w:lang w:val="en-US" w:eastAsia="zh-CN"/>
        </w:rPr>
        <w:t xml:space="preserve">  供货期限10天。</w:t>
      </w:r>
    </w:p>
    <w:p w14:paraId="0F606D27">
      <w:pPr>
        <w:spacing w:line="360" w:lineRule="auto"/>
        <w:rPr>
          <w:rFonts w:hint="default" w:ascii="Times New Roman" w:hAnsi="Times New Roman" w:cs="Times New Roman" w:eastAsiaTheme="minorEastAsia"/>
          <w:sz w:val="18"/>
          <w:szCs w:val="18"/>
          <w:lang w:val="en-US" w:eastAsia="zh-CN"/>
        </w:rPr>
      </w:pPr>
      <w:bookmarkStart w:id="0" w:name="_GoBack"/>
      <w:bookmarkEnd w:id="0"/>
    </w:p>
    <w:p w14:paraId="646BE6D5">
      <w:pPr>
        <w:rPr>
          <w:rFonts w:ascii="Times New Roman" w:hAnsi="Times New Roman" w:cs="Times New Roman"/>
          <w:sz w:val="18"/>
          <w:szCs w:val="18"/>
        </w:rPr>
      </w:pPr>
    </w:p>
    <w:p w14:paraId="7A04EC7B">
      <w:pPr>
        <w:spacing w:line="360" w:lineRule="auto"/>
        <w:rPr>
          <w:rFonts w:ascii="Times New Roman" w:hAnsi="Times New Roman" w:cs="Times New Roman"/>
          <w:sz w:val="18"/>
          <w:szCs w:val="18"/>
        </w:rPr>
      </w:pPr>
    </w:p>
    <w:p w14:paraId="00CBB619">
      <w:pPr>
        <w:pStyle w:val="5"/>
        <w:rPr>
          <w:rFonts w:ascii="Times New Roman" w:hAnsi="Times New Roman" w:cs="Times New Roman"/>
          <w:sz w:val="18"/>
          <w:szCs w:val="18"/>
        </w:rPr>
      </w:pPr>
    </w:p>
    <w:p w14:paraId="494D82C8">
      <w:pPr>
        <w:pStyle w:val="5"/>
        <w:rPr>
          <w:rFonts w:ascii="Times New Roman" w:hAnsi="Times New Roman" w:cs="Times New Roman"/>
          <w:sz w:val="18"/>
          <w:szCs w:val="18"/>
        </w:rPr>
      </w:pPr>
    </w:p>
    <w:p w14:paraId="75F07D6F">
      <w:pPr>
        <w:pStyle w:val="5"/>
        <w:rPr>
          <w:rFonts w:ascii="Times New Roman" w:hAnsi="Times New Roman" w:cs="Times New Roman"/>
          <w:sz w:val="18"/>
          <w:szCs w:val="18"/>
        </w:rPr>
      </w:pPr>
    </w:p>
    <w:p w14:paraId="41826905">
      <w:pPr>
        <w:pStyle w:val="5"/>
        <w:rPr>
          <w:rFonts w:ascii="Times New Roman" w:hAnsi="Times New Roman" w:cs="Times New Roman"/>
          <w:sz w:val="18"/>
          <w:szCs w:val="18"/>
        </w:rPr>
      </w:pPr>
    </w:p>
    <w:p w14:paraId="4EF87913">
      <w:pPr>
        <w:pStyle w:val="5"/>
        <w:rPr>
          <w:rFonts w:ascii="Times New Roman" w:hAnsi="Times New Roman" w:cs="Times New Roman"/>
          <w:sz w:val="18"/>
          <w:szCs w:val="18"/>
        </w:rPr>
      </w:pPr>
      <w:r>
        <w:rPr>
          <w:rFonts w:ascii="Times New Roman" w:hAnsi="Times New Roman" w:cs="Times New Roman"/>
          <w:sz w:val="18"/>
          <w:szCs w:val="18"/>
        </w:rPr>
        <w:t>需方参数需求：</w:t>
      </w:r>
    </w:p>
    <w:tbl>
      <w:tblPr>
        <w:tblStyle w:val="9"/>
        <w:tblW w:w="1372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1"/>
        <w:gridCol w:w="868"/>
        <w:gridCol w:w="1316"/>
        <w:gridCol w:w="1116"/>
        <w:gridCol w:w="1533"/>
        <w:gridCol w:w="683"/>
        <w:gridCol w:w="5667"/>
        <w:gridCol w:w="800"/>
        <w:gridCol w:w="1133"/>
      </w:tblGrid>
      <w:tr w14:paraId="0FF60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6BB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B2E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设备名称</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28F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5C2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型号</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53C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制造商</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BF4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5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247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技术指标</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FA7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05F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总计</w:t>
            </w:r>
          </w:p>
        </w:tc>
      </w:tr>
      <w:tr w14:paraId="3C07C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2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B75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C25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智能会议协作系统</w:t>
            </w:r>
          </w:p>
          <w:p w14:paraId="143F19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FB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北京文香</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8945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val="en-US" w:eastAsia="zh-CN"/>
              </w:rPr>
              <w:t>CDS</w:t>
            </w:r>
            <w:r>
              <w:rPr>
                <w:rFonts w:hint="eastAsia" w:ascii="宋体" w:hAnsi="宋体" w:eastAsia="宋体" w:cs="宋体"/>
                <w:i w:val="0"/>
                <w:iCs w:val="0"/>
                <w:color w:val="000000"/>
                <w:sz w:val="22"/>
                <w:szCs w:val="22"/>
                <w:u w:val="none"/>
              </w:rPr>
              <w:t>8600</w:t>
            </w:r>
            <w:r>
              <w:rPr>
                <w:rFonts w:hint="eastAsia" w:ascii="宋体" w:hAnsi="宋体" w:eastAsia="宋体" w:cs="宋体"/>
                <w:i w:val="0"/>
                <w:iCs w:val="0"/>
                <w:color w:val="000000"/>
                <w:sz w:val="22"/>
                <w:szCs w:val="22"/>
                <w:u w:val="none"/>
                <w:lang w:val="en-US" w:eastAsia="zh-CN"/>
              </w:rPr>
              <w:t>E</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58D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北京文香信息技术有限公司</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9B4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D869F">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sz w:val="22"/>
                <w:szCs w:val="22"/>
                <w:u w:val="none"/>
                <w:lang w:val="en-US"/>
              </w:rPr>
              <w:t>一、 高清交互显示子系统</w:t>
            </w:r>
          </w:p>
          <w:p w14:paraId="101F2EFA">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sz w:val="22"/>
                <w:szCs w:val="22"/>
                <w:u w:val="none"/>
                <w:lang w:val="en-US" w:eastAsia="zh-CN"/>
              </w:rPr>
              <w:t>1.超高清显示规格：采用4K UHD超高清显示面板，物理分辨率≥3840×2160，16:9标准宽屏比例，刷新率≥60Hz，提供无拖影的流畅视觉体验。</w:t>
            </w:r>
          </w:p>
          <w:p w14:paraId="18CB0779">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sz w:val="22"/>
                <w:szCs w:val="22"/>
                <w:u w:val="none"/>
                <w:lang w:val="en-US" w:eastAsia="zh-CN"/>
              </w:rPr>
              <w:t>2.专业级画质表现：屏幕峰值亮度≥350cd/m²，动态对比度≥1200:1，色彩覆盖率（色域）&gt;72% NTSC，可视角度≥178°（H/V），确保会议室多角度观看无色偏。</w:t>
            </w:r>
          </w:p>
          <w:p w14:paraId="2A5E34CF">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sz w:val="22"/>
                <w:szCs w:val="22"/>
                <w:u w:val="none"/>
                <w:lang w:val="en-US" w:eastAsia="zh-CN"/>
              </w:rPr>
              <w:t>3.工业级屏幕防护：采用全贴合工艺与A规工业级面板；表面覆盖AG防眩光及防爆钢化玻璃，莫氏硬度≥7级（或≥8H）；具备硬件级防蓝光护眼技术，蓝光危害级别达到RG0（无蓝光危害）标准。</w:t>
            </w:r>
          </w:p>
          <w:p w14:paraId="5BFFC74C">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sz w:val="22"/>
                <w:szCs w:val="22"/>
                <w:u w:val="none"/>
                <w:lang w:val="en-US"/>
              </w:rPr>
              <w:t>二、</w:t>
            </w:r>
            <w:r>
              <w:rPr>
                <w:rFonts w:hint="eastAsia" w:ascii="宋体" w:hAnsi="宋体" w:eastAsia="宋体" w:cs="宋体"/>
                <w:i w:val="0"/>
                <w:iCs w:val="0"/>
                <w:color w:val="000000"/>
                <w:sz w:val="22"/>
                <w:szCs w:val="22"/>
                <w:u w:val="none"/>
                <w:lang w:val="en-US" w:eastAsia="zh-CN"/>
              </w:rPr>
              <w:t>会议</w:t>
            </w:r>
            <w:r>
              <w:rPr>
                <w:rFonts w:hint="default" w:ascii="宋体" w:hAnsi="宋体" w:eastAsia="宋体" w:cs="宋体"/>
                <w:i w:val="0"/>
                <w:iCs w:val="0"/>
                <w:color w:val="000000"/>
                <w:sz w:val="22"/>
                <w:szCs w:val="22"/>
                <w:u w:val="none"/>
                <w:lang w:val="en-US"/>
              </w:rPr>
              <w:t>交互模块</w:t>
            </w:r>
          </w:p>
          <w:p w14:paraId="4D6F3A24">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sz w:val="22"/>
                <w:szCs w:val="22"/>
                <w:u w:val="none"/>
                <w:lang w:val="en-US" w:eastAsia="zh-CN"/>
              </w:rPr>
              <w:t>1.高精度触控引擎：采用电容式触控技术，支持≥20点同时触控操作，书写响应延时≤35ms，保障多人协同书写与精准批注体验。</w:t>
            </w:r>
          </w:p>
          <w:p w14:paraId="5B4AB8A7">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sz w:val="22"/>
                <w:szCs w:val="22"/>
                <w:u w:val="none"/>
                <w:lang w:val="en-US" w:eastAsia="zh-CN"/>
              </w:rPr>
              <w:t>2.安全防撞结构设计：交互显示终端整体采用高强度合金包边工艺，表面钢化玻璃完全嵌入金属边框内；四角采用圆弧防撞设计，提供双重安全保护，具备抗冲击性能。</w:t>
            </w:r>
          </w:p>
          <w:p w14:paraId="0877DD86">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sz w:val="22"/>
                <w:szCs w:val="22"/>
                <w:u w:val="none"/>
                <w:lang w:val="en-US"/>
              </w:rPr>
              <w:t>三、 智能音视频通讯模块</w:t>
            </w:r>
          </w:p>
          <w:p w14:paraId="082A8820">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sz w:val="22"/>
                <w:szCs w:val="22"/>
                <w:u w:val="none"/>
                <w:lang w:val="en-US" w:eastAsia="zh-CN"/>
              </w:rPr>
              <w:t>1.AI高清视觉采集：内置≥1600万像素高清摄像模组，支持AI智能取景与发言人追踪，满足高规格远程视频会议需求。</w:t>
            </w:r>
          </w:p>
          <w:p w14:paraId="490164B7">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2.阵列式音频处理：内置≥8阵列麦克风，搭载AI声源定位与智能降噪算法，有效覆盖中大型会议室空间；内置高保真扬声器阵列，总输出功率&gt;50W，提供沉浸式本地扩声效果。</w:t>
            </w:r>
          </w:p>
          <w:p w14:paraId="4458D9E9">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w:t>
            </w:r>
            <w:r>
              <w:rPr>
                <w:rFonts w:hint="eastAsia" w:ascii="宋体" w:hAnsi="宋体" w:eastAsia="宋体" w:cs="宋体"/>
                <w:i w:val="0"/>
                <w:iCs w:val="0"/>
                <w:color w:val="000000"/>
                <w:kern w:val="0"/>
                <w:sz w:val="22"/>
                <w:szCs w:val="22"/>
                <w:u w:val="none"/>
                <w:lang w:val="en-US" w:eastAsia="zh-CN" w:bidi="ar"/>
              </w:rPr>
              <w:t>内置还原软件、集中运维管理软件等,具备断电保护。</w:t>
            </w:r>
          </w:p>
          <w:p w14:paraId="01C4247F">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sz w:val="22"/>
                <w:szCs w:val="22"/>
                <w:u w:val="none"/>
                <w:lang w:val="en-US"/>
              </w:rPr>
              <w:t>四、核心算力与通讯接口</w:t>
            </w:r>
          </w:p>
          <w:p w14:paraId="2D92A9DD">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sz w:val="22"/>
                <w:szCs w:val="22"/>
                <w:u w:val="none"/>
                <w:lang w:val="en-US" w:eastAsia="zh-CN"/>
              </w:rPr>
              <w:t>1.系统运行平台：搭载Android 13.0及以上智能操作系统；配备≥4核CPU，运行内存≥4GB，内置存储空间&gt;32GB，保障多任务处理与会议数据缓存的流畅性。</w:t>
            </w:r>
          </w:p>
          <w:p w14:paraId="51C5210B">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sz w:val="22"/>
                <w:szCs w:val="22"/>
                <w:u w:val="none"/>
                <w:lang w:val="en-US" w:eastAsia="zh-CN"/>
              </w:rPr>
              <w:t>2.高速网络互联：内置2.4GHz/5GHz双频Wi-Fi模块；蓝牙版本≥5.0，支持低延迟无线传屏与外设无缝连接。</w:t>
            </w:r>
          </w:p>
          <w:p w14:paraId="577C1708">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sz w:val="22"/>
                <w:szCs w:val="22"/>
                <w:u w:val="none"/>
                <w:lang w:val="en-US" w:eastAsia="zh-CN"/>
              </w:rPr>
              <w:t>3.全功能扩展接口：前置交互接口：Type-C接口≥1个，USB 2.0及以上接口≥2个；后置扩展接口：USB 2.0及以上接口≥1个，HDMI输入接口≥1个，Touch（触控输出）接口≥1个，RJ45千兆网络接口≥1个。</w:t>
            </w:r>
          </w:p>
          <w:p w14:paraId="67F3FC5E">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sz w:val="22"/>
                <w:szCs w:val="22"/>
                <w:u w:val="none"/>
                <w:lang w:val="en-US"/>
              </w:rPr>
              <w:t>五、质保与售后服务要求</w:t>
            </w:r>
          </w:p>
          <w:p w14:paraId="29CB1B58">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sz w:val="22"/>
                <w:szCs w:val="22"/>
                <w:u w:val="none"/>
                <w:lang w:val="en-US" w:eastAsia="zh-CN"/>
              </w:rPr>
              <w:t>为保障会议系统的长期稳定运行，投标人需提供设备原厂针对本项目的质保承诺函，并加盖原厂公章。</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DE137">
            <w:pPr>
              <w:jc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E5017">
            <w:pPr>
              <w:jc w:val="center"/>
              <w:rPr>
                <w:rFonts w:hint="eastAsia" w:ascii="宋体" w:hAnsi="宋体" w:eastAsia="宋体" w:cs="宋体"/>
                <w:i w:val="0"/>
                <w:iCs w:val="0"/>
                <w:color w:val="000000"/>
                <w:sz w:val="22"/>
                <w:szCs w:val="22"/>
                <w:u w:val="none"/>
              </w:rPr>
            </w:pPr>
          </w:p>
        </w:tc>
      </w:tr>
      <w:tr w14:paraId="0E5C5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E7F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BC2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4K商显电视</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C64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小米</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F61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L65RB-RAE</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B93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北京小米电子产品有限公司</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4AF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045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 英寸 4K（3840×2160）全面屏商显电视；144Hz 高刷新率；一级能效；运行内存 2GB，存储 32GB；澎湃 OS 系统；双频 WiFi（2.4G+5G），蓝牙 5.0；金属窄边框；接口：HDMI2.1、USB2.0；内置扬声器；支持无线投屏，商用会议展示；尺寸不含底座 1445×892×75mm。（含壁挂支架）</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E6D07">
            <w:pPr>
              <w:jc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725C0">
            <w:pPr>
              <w:jc w:val="center"/>
              <w:rPr>
                <w:rFonts w:hint="eastAsia" w:ascii="宋体" w:hAnsi="宋体" w:eastAsia="宋体" w:cs="宋体"/>
                <w:i w:val="0"/>
                <w:iCs w:val="0"/>
                <w:color w:val="000000"/>
                <w:sz w:val="22"/>
                <w:szCs w:val="22"/>
                <w:u w:val="none"/>
              </w:rPr>
            </w:pPr>
          </w:p>
        </w:tc>
      </w:tr>
      <w:tr w14:paraId="57DB1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0A1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401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移动支架</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D6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NB ERGONOMIC</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727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P80</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E6A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昆山泓杰电子股份有限公司</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3FA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BED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落地移动电视推车；适配 55-86 英寸大屏；最大承重 80kg；兼容 VESA 孔位 200×200~800×500mm；冷轧钢板材质；带 4 个静音万向轮（2 个带刹车）；高度可调节；自带线缆收纳槽；俯仰角度微调；免打孔落地安装，适合商显一体机移动使用。</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26B51">
            <w:pPr>
              <w:jc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EF68D">
            <w:pPr>
              <w:jc w:val="center"/>
              <w:rPr>
                <w:rFonts w:hint="eastAsia" w:ascii="宋体" w:hAnsi="宋体" w:eastAsia="宋体" w:cs="宋体"/>
                <w:i w:val="0"/>
                <w:iCs w:val="0"/>
                <w:color w:val="000000"/>
                <w:sz w:val="22"/>
                <w:szCs w:val="22"/>
                <w:u w:val="none"/>
              </w:rPr>
            </w:pPr>
          </w:p>
        </w:tc>
      </w:tr>
      <w:tr w14:paraId="20604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F50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C37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无线投屏</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6E8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绿联（UGREEN）</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876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CM506</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E82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深圳市绿联科技股份有限公司</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154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5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77A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企业级点对点无线投屏器；5.8G 专用传输频段；空旷环境传输距离 50 米；输出接口 HDMI+VGA 双路，附带 3.5mm 音频口；输出分辨率最高 1080P@60Hz；USB</w:t>
            </w:r>
            <w:r>
              <w:rPr>
                <w:rFonts w:hint="eastAsia" w:ascii="宋体" w:hAnsi="宋体" w:eastAsia="宋体" w:cs="宋体"/>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C 供电；发射端 HDMI 输入；即插即用，无需局域网；支持电脑、笔记本一键同屏，低延迟；合金 + ABS 外壳。</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62563">
            <w:pPr>
              <w:jc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0BD4A">
            <w:pPr>
              <w:jc w:val="center"/>
              <w:rPr>
                <w:rFonts w:hint="eastAsia" w:ascii="宋体" w:hAnsi="宋体" w:eastAsia="宋体" w:cs="宋体"/>
                <w:i w:val="0"/>
                <w:iCs w:val="0"/>
                <w:color w:val="000000"/>
                <w:sz w:val="22"/>
                <w:szCs w:val="22"/>
                <w:u w:val="none"/>
              </w:rPr>
            </w:pPr>
          </w:p>
        </w:tc>
      </w:tr>
      <w:tr w14:paraId="60FF3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014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F42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监控摄像头</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F27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浙江大华</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25C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DH-IPC-HFW2449M-A-LED</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A6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浙江大华技术股份有限公司</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8DF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5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5E5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 万像素高清网络枪机；分辨率 2688×1520；H.265 + 智能编码；全彩 LED 补光，夜晚彩色成像；支持 POE/DC12V 双供电；IP67 防尘防水；内置拾音麦克风；支持智能人形检测；支持 Micro SD 卡本地存储（最大 256G）；镜头 3.6mm；红外 / 全彩补光距离 40 米；工作温度：-40℃~+60℃。（含施工及布线）</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CC6B9">
            <w:pPr>
              <w:jc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E69A1">
            <w:pPr>
              <w:jc w:val="center"/>
              <w:rPr>
                <w:rFonts w:hint="eastAsia" w:ascii="宋体" w:hAnsi="宋体" w:eastAsia="宋体" w:cs="宋体"/>
                <w:i w:val="0"/>
                <w:iCs w:val="0"/>
                <w:color w:val="000000"/>
                <w:sz w:val="22"/>
                <w:szCs w:val="22"/>
                <w:u w:val="none"/>
              </w:rPr>
            </w:pPr>
          </w:p>
        </w:tc>
      </w:tr>
      <w:tr w14:paraId="0A817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D79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253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硬盘录像机</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234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浙江大华</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B0C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DH-NVR2120-N-M</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BD8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浙江大华技术股份有限公司</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7CD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BF5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 路网络 NVR，单盘位；双网口设计；支持 H.265/H.264 解码；最大接入带宽 144Mbps；支持 4K 预览回放；支持单块硬盘最大 16TB；HDMI+VGA 同源输出；支持大华摄像头即插即用；支持手机远程监控；1 路音频输出；支持录像计划、移动侦测录像；尺寸 260×233.2×47.6mm；工作温度：-10℃~+55℃。</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16582">
            <w:pPr>
              <w:jc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A0079">
            <w:pPr>
              <w:jc w:val="center"/>
              <w:rPr>
                <w:rFonts w:hint="eastAsia" w:ascii="宋体" w:hAnsi="宋体" w:eastAsia="宋体" w:cs="宋体"/>
                <w:i w:val="0"/>
                <w:iCs w:val="0"/>
                <w:color w:val="000000"/>
                <w:sz w:val="22"/>
                <w:szCs w:val="22"/>
                <w:u w:val="none"/>
              </w:rPr>
            </w:pPr>
          </w:p>
        </w:tc>
      </w:tr>
      <w:tr w14:paraId="5E888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FE6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A32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硬盘</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8CB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西部数据</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A91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4TB</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2D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西部数据公司（Western Digital）</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87E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749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监控专用硬盘；3.5 英寸 SATA 6Gb/s 接口；容量 4TB；缓存 256MB；CMR 垂直记录；持续读取最高 175MB/s；支持 7×24 小时不间断监控录像。</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FEADA">
            <w:pPr>
              <w:jc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2A820">
            <w:pPr>
              <w:jc w:val="center"/>
              <w:rPr>
                <w:rFonts w:hint="eastAsia" w:ascii="宋体" w:hAnsi="宋体" w:eastAsia="宋体" w:cs="宋体"/>
                <w:i w:val="0"/>
                <w:iCs w:val="0"/>
                <w:color w:val="000000"/>
                <w:sz w:val="22"/>
                <w:szCs w:val="22"/>
                <w:u w:val="none"/>
              </w:rPr>
            </w:pPr>
          </w:p>
        </w:tc>
      </w:tr>
      <w:tr w14:paraId="62F0E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C8F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5ED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监视器</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841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163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24寸1080P</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4D4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526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944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 英寸工业级安防监视器；分辨率 1920×1080，支持多路信号输入。</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D4CBE">
            <w:pPr>
              <w:jc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A0774">
            <w:pPr>
              <w:jc w:val="center"/>
              <w:rPr>
                <w:rFonts w:hint="eastAsia" w:ascii="宋体" w:hAnsi="宋体" w:eastAsia="宋体" w:cs="宋体"/>
                <w:i w:val="0"/>
                <w:iCs w:val="0"/>
                <w:color w:val="000000"/>
                <w:sz w:val="22"/>
                <w:szCs w:val="22"/>
                <w:u w:val="none"/>
              </w:rPr>
            </w:pPr>
          </w:p>
        </w:tc>
      </w:tr>
    </w:tbl>
    <w:p w14:paraId="34C6F0A3">
      <w:pPr>
        <w:jc w:val="both"/>
        <w:rPr>
          <w:rFonts w:ascii="Times New Roman" w:hAnsi="Times New Roman" w:cs="Times New Roman" w:eastAsiaTheme="minorEastAsia"/>
          <w:sz w:val="18"/>
          <w:szCs w:val="18"/>
        </w:rPr>
      </w:pPr>
    </w:p>
    <w:p w14:paraId="073438EC">
      <w:pPr>
        <w:pStyle w:val="5"/>
        <w:rPr>
          <w:rFonts w:ascii="Times New Roman" w:hAnsi="Times New Roman" w:cs="Times New Roman"/>
          <w:sz w:val="18"/>
          <w:szCs w:val="18"/>
        </w:rPr>
      </w:pPr>
      <w:r>
        <w:rPr>
          <w:rFonts w:ascii="Times New Roman" w:hAnsi="Times New Roman" w:cs="Times New Roman"/>
          <w:sz w:val="18"/>
          <w:szCs w:val="18"/>
        </w:rPr>
        <w:br w:type="page"/>
      </w:r>
      <w:r>
        <w:rPr>
          <w:rFonts w:ascii="Times New Roman" w:hAnsi="Times New Roman" w:cs="Times New Roman"/>
          <w:sz w:val="18"/>
          <w:szCs w:val="18"/>
        </w:rPr>
        <w:t xml:space="preserve">供方响应：             </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1356"/>
        <w:gridCol w:w="1843"/>
        <w:gridCol w:w="1276"/>
        <w:gridCol w:w="1417"/>
        <w:gridCol w:w="1560"/>
        <w:gridCol w:w="1275"/>
        <w:gridCol w:w="1701"/>
        <w:gridCol w:w="1821"/>
      </w:tblGrid>
      <w:tr w14:paraId="011DB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907" w:type="dxa"/>
            <w:vAlign w:val="center"/>
          </w:tcPr>
          <w:p w14:paraId="05451D54">
            <w:pPr>
              <w:jc w:val="center"/>
              <w:rPr>
                <w:rFonts w:ascii="Times New Roman" w:hAnsi="Times New Roman" w:cs="Times New Roman"/>
                <w:sz w:val="18"/>
                <w:szCs w:val="18"/>
              </w:rPr>
            </w:pPr>
            <w:r>
              <w:rPr>
                <w:rFonts w:ascii="Times New Roman" w:hAnsi="Times New Roman" w:cs="Times New Roman"/>
                <w:sz w:val="18"/>
                <w:szCs w:val="18"/>
              </w:rPr>
              <w:t>序号</w:t>
            </w:r>
          </w:p>
        </w:tc>
        <w:tc>
          <w:tcPr>
            <w:tcW w:w="1356" w:type="dxa"/>
            <w:vAlign w:val="center"/>
          </w:tcPr>
          <w:p w14:paraId="4782C31B">
            <w:pPr>
              <w:jc w:val="center"/>
              <w:rPr>
                <w:rFonts w:ascii="Times New Roman" w:hAnsi="Times New Roman" w:cs="Times New Roman"/>
                <w:sz w:val="18"/>
                <w:szCs w:val="18"/>
              </w:rPr>
            </w:pPr>
            <w:r>
              <w:rPr>
                <w:rFonts w:ascii="Times New Roman" w:hAnsi="Times New Roman" w:cs="Times New Roman"/>
                <w:sz w:val="18"/>
                <w:szCs w:val="18"/>
              </w:rPr>
              <w:t>品名</w:t>
            </w:r>
          </w:p>
        </w:tc>
        <w:tc>
          <w:tcPr>
            <w:tcW w:w="1843" w:type="dxa"/>
            <w:vAlign w:val="center"/>
          </w:tcPr>
          <w:p w14:paraId="7E83C75C">
            <w:pPr>
              <w:jc w:val="center"/>
              <w:rPr>
                <w:rFonts w:ascii="Times New Roman" w:hAnsi="Times New Roman" w:cs="Times New Roman"/>
                <w:sz w:val="18"/>
                <w:szCs w:val="18"/>
              </w:rPr>
            </w:pPr>
            <w:r>
              <w:rPr>
                <w:rFonts w:ascii="Times New Roman" w:hAnsi="Times New Roman" w:cs="Times New Roman"/>
                <w:sz w:val="18"/>
                <w:szCs w:val="18"/>
              </w:rPr>
              <w:t>生产厂家</w:t>
            </w:r>
          </w:p>
        </w:tc>
        <w:tc>
          <w:tcPr>
            <w:tcW w:w="1276" w:type="dxa"/>
            <w:vAlign w:val="center"/>
          </w:tcPr>
          <w:p w14:paraId="20840B7C">
            <w:pPr>
              <w:jc w:val="center"/>
              <w:rPr>
                <w:rFonts w:ascii="Times New Roman" w:hAnsi="Times New Roman" w:cs="Times New Roman"/>
                <w:sz w:val="18"/>
                <w:szCs w:val="18"/>
              </w:rPr>
            </w:pPr>
            <w:r>
              <w:rPr>
                <w:rFonts w:ascii="Times New Roman" w:hAnsi="Times New Roman" w:cs="Times New Roman"/>
                <w:sz w:val="18"/>
                <w:szCs w:val="18"/>
              </w:rPr>
              <w:t>型号</w:t>
            </w:r>
          </w:p>
        </w:tc>
        <w:tc>
          <w:tcPr>
            <w:tcW w:w="1417" w:type="dxa"/>
            <w:vAlign w:val="center"/>
          </w:tcPr>
          <w:p w14:paraId="04B95FA7">
            <w:pPr>
              <w:jc w:val="center"/>
              <w:rPr>
                <w:rFonts w:ascii="Times New Roman" w:hAnsi="Times New Roman" w:cs="Times New Roman"/>
                <w:sz w:val="18"/>
                <w:szCs w:val="18"/>
              </w:rPr>
            </w:pPr>
            <w:r>
              <w:rPr>
                <w:rFonts w:ascii="Times New Roman" w:hAnsi="Times New Roman" w:cs="Times New Roman"/>
                <w:sz w:val="18"/>
                <w:szCs w:val="18"/>
              </w:rPr>
              <w:t>数量</w:t>
            </w:r>
          </w:p>
        </w:tc>
        <w:tc>
          <w:tcPr>
            <w:tcW w:w="1560" w:type="dxa"/>
            <w:shd w:val="clear" w:color="auto" w:fill="auto"/>
            <w:vAlign w:val="center"/>
          </w:tcPr>
          <w:p w14:paraId="569747B5">
            <w:pPr>
              <w:jc w:val="center"/>
              <w:rPr>
                <w:rFonts w:ascii="Times New Roman" w:hAnsi="Times New Roman" w:cs="Times New Roman"/>
                <w:sz w:val="18"/>
                <w:szCs w:val="18"/>
              </w:rPr>
            </w:pPr>
            <w:r>
              <w:rPr>
                <w:rFonts w:ascii="Times New Roman" w:hAnsi="Times New Roman" w:cs="Times New Roman"/>
                <w:sz w:val="18"/>
                <w:szCs w:val="18"/>
              </w:rPr>
              <w:t>单价</w:t>
            </w:r>
          </w:p>
        </w:tc>
        <w:tc>
          <w:tcPr>
            <w:tcW w:w="1275" w:type="dxa"/>
            <w:shd w:val="clear" w:color="auto" w:fill="auto"/>
            <w:vAlign w:val="center"/>
          </w:tcPr>
          <w:p w14:paraId="04A6D3E2">
            <w:pPr>
              <w:jc w:val="center"/>
              <w:rPr>
                <w:rFonts w:ascii="Times New Roman" w:hAnsi="Times New Roman" w:cs="Times New Roman"/>
                <w:sz w:val="18"/>
                <w:szCs w:val="18"/>
              </w:rPr>
            </w:pPr>
            <w:r>
              <w:rPr>
                <w:rFonts w:ascii="Times New Roman" w:hAnsi="Times New Roman" w:cs="Times New Roman"/>
                <w:sz w:val="18"/>
                <w:szCs w:val="18"/>
              </w:rPr>
              <w:t>合计</w:t>
            </w:r>
          </w:p>
        </w:tc>
        <w:tc>
          <w:tcPr>
            <w:tcW w:w="1701" w:type="dxa"/>
            <w:shd w:val="clear" w:color="auto" w:fill="auto"/>
            <w:vAlign w:val="center"/>
          </w:tcPr>
          <w:p w14:paraId="0F1B3283">
            <w:pPr>
              <w:jc w:val="center"/>
              <w:rPr>
                <w:rFonts w:ascii="Times New Roman" w:hAnsi="Times New Roman" w:cs="Times New Roman"/>
                <w:sz w:val="18"/>
                <w:szCs w:val="18"/>
              </w:rPr>
            </w:pPr>
            <w:r>
              <w:rPr>
                <w:rFonts w:ascii="Times New Roman" w:hAnsi="Times New Roman" w:cs="Times New Roman"/>
                <w:sz w:val="18"/>
                <w:szCs w:val="18"/>
              </w:rPr>
              <w:t>到货时间</w:t>
            </w:r>
          </w:p>
        </w:tc>
        <w:tc>
          <w:tcPr>
            <w:tcW w:w="1821" w:type="dxa"/>
            <w:shd w:val="clear" w:color="auto" w:fill="auto"/>
            <w:vAlign w:val="center"/>
          </w:tcPr>
          <w:p w14:paraId="216D81EA">
            <w:pPr>
              <w:jc w:val="center"/>
              <w:rPr>
                <w:rFonts w:ascii="Times New Roman" w:hAnsi="Times New Roman" w:cs="Times New Roman"/>
                <w:sz w:val="18"/>
                <w:szCs w:val="18"/>
              </w:rPr>
            </w:pPr>
            <w:r>
              <w:rPr>
                <w:rFonts w:ascii="Times New Roman" w:hAnsi="Times New Roman" w:cs="Times New Roman"/>
                <w:sz w:val="18"/>
                <w:szCs w:val="18"/>
              </w:rPr>
              <w:t>质保时间</w:t>
            </w:r>
          </w:p>
        </w:tc>
      </w:tr>
      <w:tr w14:paraId="3DBB8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907" w:type="dxa"/>
          </w:tcPr>
          <w:p w14:paraId="6CBF9610">
            <w:pPr>
              <w:rPr>
                <w:rFonts w:ascii="Times New Roman" w:hAnsi="Times New Roman" w:cs="Times New Roman"/>
                <w:sz w:val="18"/>
                <w:szCs w:val="18"/>
              </w:rPr>
            </w:pPr>
          </w:p>
        </w:tc>
        <w:tc>
          <w:tcPr>
            <w:tcW w:w="1356" w:type="dxa"/>
            <w:vAlign w:val="center"/>
          </w:tcPr>
          <w:p w14:paraId="0CECE6A4">
            <w:pPr>
              <w:rPr>
                <w:rFonts w:ascii="Times New Roman" w:hAnsi="Times New Roman" w:cs="Times New Roman"/>
                <w:sz w:val="18"/>
                <w:szCs w:val="18"/>
              </w:rPr>
            </w:pPr>
          </w:p>
        </w:tc>
        <w:tc>
          <w:tcPr>
            <w:tcW w:w="1843" w:type="dxa"/>
            <w:vAlign w:val="center"/>
          </w:tcPr>
          <w:p w14:paraId="7758E622">
            <w:pPr>
              <w:rPr>
                <w:rFonts w:ascii="Times New Roman" w:hAnsi="Times New Roman" w:cs="Times New Roman"/>
                <w:sz w:val="18"/>
                <w:szCs w:val="18"/>
              </w:rPr>
            </w:pPr>
          </w:p>
        </w:tc>
        <w:tc>
          <w:tcPr>
            <w:tcW w:w="1276" w:type="dxa"/>
            <w:vAlign w:val="center"/>
          </w:tcPr>
          <w:p w14:paraId="2881AE46">
            <w:pPr>
              <w:rPr>
                <w:rFonts w:ascii="Times New Roman" w:hAnsi="Times New Roman" w:cs="Times New Roman"/>
                <w:sz w:val="18"/>
                <w:szCs w:val="18"/>
              </w:rPr>
            </w:pPr>
          </w:p>
        </w:tc>
        <w:tc>
          <w:tcPr>
            <w:tcW w:w="1417" w:type="dxa"/>
            <w:vAlign w:val="center"/>
          </w:tcPr>
          <w:p w14:paraId="12077A17">
            <w:pPr>
              <w:rPr>
                <w:rFonts w:ascii="Times New Roman" w:hAnsi="Times New Roman" w:cs="Times New Roman"/>
                <w:sz w:val="18"/>
                <w:szCs w:val="18"/>
              </w:rPr>
            </w:pPr>
          </w:p>
        </w:tc>
        <w:tc>
          <w:tcPr>
            <w:tcW w:w="1560" w:type="dxa"/>
            <w:shd w:val="clear" w:color="auto" w:fill="auto"/>
            <w:vAlign w:val="center"/>
          </w:tcPr>
          <w:p w14:paraId="43E382D9">
            <w:pPr>
              <w:rPr>
                <w:rFonts w:ascii="Times New Roman" w:hAnsi="Times New Roman" w:cs="Times New Roman"/>
                <w:sz w:val="18"/>
                <w:szCs w:val="18"/>
              </w:rPr>
            </w:pPr>
          </w:p>
        </w:tc>
        <w:tc>
          <w:tcPr>
            <w:tcW w:w="1275" w:type="dxa"/>
            <w:shd w:val="clear" w:color="auto" w:fill="auto"/>
            <w:vAlign w:val="center"/>
          </w:tcPr>
          <w:p w14:paraId="0A1F850B">
            <w:pPr>
              <w:rPr>
                <w:rFonts w:ascii="Times New Roman" w:hAnsi="Times New Roman" w:cs="Times New Roman"/>
                <w:sz w:val="18"/>
                <w:szCs w:val="18"/>
              </w:rPr>
            </w:pPr>
          </w:p>
        </w:tc>
        <w:tc>
          <w:tcPr>
            <w:tcW w:w="1701" w:type="dxa"/>
            <w:shd w:val="clear" w:color="auto" w:fill="auto"/>
            <w:vAlign w:val="center"/>
          </w:tcPr>
          <w:p w14:paraId="763FB209">
            <w:pPr>
              <w:rPr>
                <w:rFonts w:ascii="Times New Roman" w:hAnsi="Times New Roman" w:cs="Times New Roman"/>
                <w:sz w:val="18"/>
                <w:szCs w:val="18"/>
              </w:rPr>
            </w:pPr>
          </w:p>
        </w:tc>
        <w:tc>
          <w:tcPr>
            <w:tcW w:w="1821" w:type="dxa"/>
            <w:shd w:val="clear" w:color="auto" w:fill="auto"/>
            <w:vAlign w:val="center"/>
          </w:tcPr>
          <w:p w14:paraId="049E0892">
            <w:pPr>
              <w:rPr>
                <w:rFonts w:ascii="Times New Roman" w:hAnsi="Times New Roman" w:cs="Times New Roman"/>
                <w:sz w:val="18"/>
                <w:szCs w:val="18"/>
              </w:rPr>
            </w:pPr>
          </w:p>
        </w:tc>
      </w:tr>
      <w:tr w14:paraId="768BB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907" w:type="dxa"/>
          </w:tcPr>
          <w:p w14:paraId="5D739C50">
            <w:pPr>
              <w:rPr>
                <w:rFonts w:ascii="Times New Roman" w:hAnsi="Times New Roman" w:cs="Times New Roman"/>
                <w:sz w:val="18"/>
                <w:szCs w:val="18"/>
              </w:rPr>
            </w:pPr>
          </w:p>
        </w:tc>
        <w:tc>
          <w:tcPr>
            <w:tcW w:w="1356" w:type="dxa"/>
            <w:vAlign w:val="center"/>
          </w:tcPr>
          <w:p w14:paraId="37408CA5">
            <w:pPr>
              <w:rPr>
                <w:rFonts w:ascii="Times New Roman" w:hAnsi="Times New Roman" w:cs="Times New Roman"/>
                <w:sz w:val="18"/>
                <w:szCs w:val="18"/>
              </w:rPr>
            </w:pPr>
          </w:p>
        </w:tc>
        <w:tc>
          <w:tcPr>
            <w:tcW w:w="1843" w:type="dxa"/>
            <w:vAlign w:val="center"/>
          </w:tcPr>
          <w:p w14:paraId="426058C7">
            <w:pPr>
              <w:rPr>
                <w:rFonts w:ascii="Times New Roman" w:hAnsi="Times New Roman" w:cs="Times New Roman"/>
                <w:sz w:val="18"/>
                <w:szCs w:val="18"/>
              </w:rPr>
            </w:pPr>
          </w:p>
        </w:tc>
        <w:tc>
          <w:tcPr>
            <w:tcW w:w="1276" w:type="dxa"/>
            <w:vAlign w:val="center"/>
          </w:tcPr>
          <w:p w14:paraId="053AA509">
            <w:pPr>
              <w:rPr>
                <w:rFonts w:ascii="Times New Roman" w:hAnsi="Times New Roman" w:cs="Times New Roman"/>
                <w:sz w:val="18"/>
                <w:szCs w:val="18"/>
              </w:rPr>
            </w:pPr>
          </w:p>
        </w:tc>
        <w:tc>
          <w:tcPr>
            <w:tcW w:w="1417" w:type="dxa"/>
            <w:vAlign w:val="center"/>
          </w:tcPr>
          <w:p w14:paraId="35D9FC79">
            <w:pPr>
              <w:rPr>
                <w:rFonts w:ascii="Times New Roman" w:hAnsi="Times New Roman" w:cs="Times New Roman"/>
                <w:sz w:val="18"/>
                <w:szCs w:val="18"/>
              </w:rPr>
            </w:pPr>
          </w:p>
        </w:tc>
        <w:tc>
          <w:tcPr>
            <w:tcW w:w="1560" w:type="dxa"/>
            <w:shd w:val="clear" w:color="auto" w:fill="auto"/>
            <w:vAlign w:val="center"/>
          </w:tcPr>
          <w:p w14:paraId="06B77C43">
            <w:pPr>
              <w:rPr>
                <w:rFonts w:ascii="Times New Roman" w:hAnsi="Times New Roman" w:cs="Times New Roman"/>
                <w:sz w:val="18"/>
                <w:szCs w:val="18"/>
              </w:rPr>
            </w:pPr>
          </w:p>
        </w:tc>
        <w:tc>
          <w:tcPr>
            <w:tcW w:w="1275" w:type="dxa"/>
            <w:shd w:val="clear" w:color="auto" w:fill="auto"/>
            <w:vAlign w:val="center"/>
          </w:tcPr>
          <w:p w14:paraId="4826C2B2">
            <w:pPr>
              <w:rPr>
                <w:rFonts w:ascii="Times New Roman" w:hAnsi="Times New Roman" w:cs="Times New Roman"/>
                <w:sz w:val="18"/>
                <w:szCs w:val="18"/>
              </w:rPr>
            </w:pPr>
          </w:p>
        </w:tc>
        <w:tc>
          <w:tcPr>
            <w:tcW w:w="1701" w:type="dxa"/>
            <w:shd w:val="clear" w:color="auto" w:fill="auto"/>
            <w:vAlign w:val="center"/>
          </w:tcPr>
          <w:p w14:paraId="120814E3">
            <w:pPr>
              <w:rPr>
                <w:rFonts w:ascii="Times New Roman" w:hAnsi="Times New Roman" w:cs="Times New Roman"/>
                <w:sz w:val="18"/>
                <w:szCs w:val="18"/>
              </w:rPr>
            </w:pPr>
          </w:p>
        </w:tc>
        <w:tc>
          <w:tcPr>
            <w:tcW w:w="1821" w:type="dxa"/>
            <w:shd w:val="clear" w:color="auto" w:fill="auto"/>
            <w:vAlign w:val="center"/>
          </w:tcPr>
          <w:p w14:paraId="5B16035B">
            <w:pPr>
              <w:rPr>
                <w:rFonts w:ascii="Times New Roman" w:hAnsi="Times New Roman" w:cs="Times New Roman"/>
                <w:sz w:val="18"/>
                <w:szCs w:val="18"/>
              </w:rPr>
            </w:pPr>
          </w:p>
        </w:tc>
      </w:tr>
      <w:tr w14:paraId="51438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jc w:val="center"/>
        </w:trPr>
        <w:tc>
          <w:tcPr>
            <w:tcW w:w="907" w:type="dxa"/>
          </w:tcPr>
          <w:p w14:paraId="68223D45">
            <w:pPr>
              <w:rPr>
                <w:rFonts w:ascii="Times New Roman" w:hAnsi="Times New Roman" w:cs="Times New Roman"/>
                <w:sz w:val="18"/>
                <w:szCs w:val="18"/>
              </w:rPr>
            </w:pPr>
          </w:p>
        </w:tc>
        <w:tc>
          <w:tcPr>
            <w:tcW w:w="1356" w:type="dxa"/>
            <w:vAlign w:val="center"/>
          </w:tcPr>
          <w:p w14:paraId="04957363">
            <w:pPr>
              <w:rPr>
                <w:rFonts w:ascii="Times New Roman" w:hAnsi="Times New Roman" w:cs="Times New Roman"/>
                <w:sz w:val="18"/>
                <w:szCs w:val="18"/>
              </w:rPr>
            </w:pPr>
          </w:p>
        </w:tc>
        <w:tc>
          <w:tcPr>
            <w:tcW w:w="1843" w:type="dxa"/>
            <w:vAlign w:val="center"/>
          </w:tcPr>
          <w:p w14:paraId="74783EFB">
            <w:pPr>
              <w:rPr>
                <w:rFonts w:ascii="Times New Roman" w:hAnsi="Times New Roman" w:cs="Times New Roman"/>
                <w:sz w:val="18"/>
                <w:szCs w:val="18"/>
              </w:rPr>
            </w:pPr>
          </w:p>
        </w:tc>
        <w:tc>
          <w:tcPr>
            <w:tcW w:w="1276" w:type="dxa"/>
            <w:vAlign w:val="center"/>
          </w:tcPr>
          <w:p w14:paraId="44150EDB">
            <w:pPr>
              <w:rPr>
                <w:rFonts w:ascii="Times New Roman" w:hAnsi="Times New Roman" w:cs="Times New Roman"/>
                <w:sz w:val="18"/>
                <w:szCs w:val="18"/>
              </w:rPr>
            </w:pPr>
          </w:p>
        </w:tc>
        <w:tc>
          <w:tcPr>
            <w:tcW w:w="1417" w:type="dxa"/>
            <w:vAlign w:val="center"/>
          </w:tcPr>
          <w:p w14:paraId="76E7C225">
            <w:pPr>
              <w:rPr>
                <w:rFonts w:ascii="Times New Roman" w:hAnsi="Times New Roman" w:cs="Times New Roman"/>
                <w:sz w:val="18"/>
                <w:szCs w:val="18"/>
              </w:rPr>
            </w:pPr>
          </w:p>
        </w:tc>
        <w:tc>
          <w:tcPr>
            <w:tcW w:w="1560" w:type="dxa"/>
            <w:shd w:val="clear" w:color="auto" w:fill="auto"/>
            <w:vAlign w:val="center"/>
          </w:tcPr>
          <w:p w14:paraId="340FF66F">
            <w:pPr>
              <w:rPr>
                <w:rFonts w:ascii="Times New Roman" w:hAnsi="Times New Roman" w:cs="Times New Roman"/>
                <w:sz w:val="18"/>
                <w:szCs w:val="18"/>
              </w:rPr>
            </w:pPr>
          </w:p>
        </w:tc>
        <w:tc>
          <w:tcPr>
            <w:tcW w:w="1275" w:type="dxa"/>
            <w:shd w:val="clear" w:color="auto" w:fill="auto"/>
            <w:vAlign w:val="center"/>
          </w:tcPr>
          <w:p w14:paraId="636DD6DD">
            <w:pPr>
              <w:rPr>
                <w:rFonts w:ascii="Times New Roman" w:hAnsi="Times New Roman" w:cs="Times New Roman"/>
                <w:sz w:val="18"/>
                <w:szCs w:val="18"/>
              </w:rPr>
            </w:pPr>
          </w:p>
        </w:tc>
        <w:tc>
          <w:tcPr>
            <w:tcW w:w="1701" w:type="dxa"/>
            <w:shd w:val="clear" w:color="auto" w:fill="auto"/>
            <w:vAlign w:val="center"/>
          </w:tcPr>
          <w:p w14:paraId="07D8D4A0">
            <w:pPr>
              <w:rPr>
                <w:rFonts w:ascii="Times New Roman" w:hAnsi="Times New Roman" w:cs="Times New Roman"/>
                <w:sz w:val="18"/>
                <w:szCs w:val="18"/>
              </w:rPr>
            </w:pPr>
          </w:p>
        </w:tc>
        <w:tc>
          <w:tcPr>
            <w:tcW w:w="1821" w:type="dxa"/>
            <w:shd w:val="clear" w:color="auto" w:fill="auto"/>
            <w:vAlign w:val="center"/>
          </w:tcPr>
          <w:p w14:paraId="2461A6AA">
            <w:pPr>
              <w:rPr>
                <w:rFonts w:ascii="Times New Roman" w:hAnsi="Times New Roman" w:cs="Times New Roman"/>
                <w:sz w:val="18"/>
                <w:szCs w:val="18"/>
              </w:rPr>
            </w:pPr>
          </w:p>
        </w:tc>
      </w:tr>
      <w:tr w14:paraId="388C1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jc w:val="center"/>
        </w:trPr>
        <w:tc>
          <w:tcPr>
            <w:tcW w:w="2263" w:type="dxa"/>
            <w:gridSpan w:val="2"/>
          </w:tcPr>
          <w:p w14:paraId="0EC2A472">
            <w:pPr>
              <w:rPr>
                <w:rFonts w:ascii="Times New Roman" w:hAnsi="Times New Roman" w:cs="Times New Roman"/>
                <w:sz w:val="18"/>
                <w:szCs w:val="18"/>
              </w:rPr>
            </w:pPr>
            <w:r>
              <w:rPr>
                <w:rFonts w:ascii="Times New Roman" w:hAnsi="Times New Roman" w:cs="Times New Roman"/>
                <w:sz w:val="18"/>
                <w:szCs w:val="18"/>
              </w:rPr>
              <w:t>合计</w:t>
            </w:r>
          </w:p>
        </w:tc>
        <w:tc>
          <w:tcPr>
            <w:tcW w:w="10893" w:type="dxa"/>
            <w:gridSpan w:val="7"/>
            <w:vAlign w:val="center"/>
          </w:tcPr>
          <w:p w14:paraId="5E428243">
            <w:pPr>
              <w:rPr>
                <w:rFonts w:ascii="Times New Roman" w:hAnsi="Times New Roman" w:cs="Times New Roman"/>
                <w:sz w:val="18"/>
                <w:szCs w:val="18"/>
              </w:rPr>
            </w:pPr>
            <w:r>
              <w:rPr>
                <w:rFonts w:ascii="Times New Roman" w:hAnsi="Times New Roman" w:cs="Times New Roman"/>
                <w:sz w:val="18"/>
                <w:szCs w:val="18"/>
              </w:rPr>
              <w:t xml:space="preserve">         人民币：                元 （大写：              整）               </w:t>
            </w:r>
          </w:p>
        </w:tc>
      </w:tr>
    </w:tbl>
    <w:p w14:paraId="5C1CBD25">
      <w:pPr>
        <w:rPr>
          <w:rFonts w:ascii="Times New Roman" w:hAnsi="Times New Roman" w:cs="Times New Roman"/>
          <w:sz w:val="18"/>
          <w:szCs w:val="18"/>
        </w:rPr>
      </w:pPr>
    </w:p>
    <w:p w14:paraId="26654CC1">
      <w:pPr>
        <w:rPr>
          <w:rFonts w:ascii="Times New Roman" w:hAnsi="Times New Roman" w:cs="Times New Roman"/>
          <w:sz w:val="18"/>
          <w:szCs w:val="18"/>
        </w:rPr>
      </w:pPr>
      <w:r>
        <w:rPr>
          <w:rFonts w:ascii="Times New Roman" w:hAnsi="Times New Roman" w:cs="Times New Roman"/>
          <w:sz w:val="18"/>
          <w:szCs w:val="18"/>
        </w:rPr>
        <w:t>其他说明：</w:t>
      </w:r>
    </w:p>
    <w:p w14:paraId="173E4602">
      <w:pPr>
        <w:rPr>
          <w:rFonts w:ascii="Times New Roman" w:hAnsi="Times New Roman" w:cs="Times New Roman"/>
          <w:sz w:val="18"/>
          <w:szCs w:val="18"/>
        </w:rPr>
      </w:pPr>
      <w:r>
        <w:rPr>
          <w:rFonts w:ascii="Times New Roman" w:hAnsi="Times New Roman" w:cs="Times New Roman"/>
          <w:sz w:val="18"/>
          <w:szCs w:val="18"/>
        </w:rPr>
        <w:t xml:space="preserve">                                                               </w:t>
      </w:r>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6248056"/>
    </w:sdtPr>
    <w:sdtContent>
      <w:sdt>
        <w:sdtPr>
          <w:id w:val="-1"/>
        </w:sdtPr>
        <w:sdtContent>
          <w:p w14:paraId="134364A0">
            <w:pPr>
              <w:pStyle w:val="7"/>
            </w:pPr>
            <w:r>
              <w:rPr>
                <w:lang w:val="zh-CN"/>
              </w:rPr>
              <w:t xml:space="preserve"> </w:t>
            </w:r>
            <w:r>
              <w:rPr>
                <w:sz w:val="24"/>
                <w:szCs w:val="24"/>
              </w:rPr>
              <w:fldChar w:fldCharType="begin"/>
            </w:r>
            <w:r>
              <w:instrText xml:space="preserve">PAGE</w:instrText>
            </w:r>
            <w:r>
              <w:rPr>
                <w:sz w:val="24"/>
                <w:szCs w:val="24"/>
              </w:rPr>
              <w:fldChar w:fldCharType="separate"/>
            </w:r>
            <w:r>
              <w:t>1</w:t>
            </w:r>
            <w:r>
              <w:rPr>
                <w:sz w:val="24"/>
                <w:szCs w:val="24"/>
              </w:rPr>
              <w:fldChar w:fldCharType="end"/>
            </w:r>
            <w:r>
              <w:rPr>
                <w:lang w:val="zh-CN"/>
              </w:rPr>
              <w:t xml:space="preserve"> / </w:t>
            </w:r>
            <w:r>
              <w:rPr>
                <w:sz w:val="24"/>
                <w:szCs w:val="24"/>
              </w:rPr>
              <w:fldChar w:fldCharType="begin"/>
            </w:r>
            <w:r>
              <w:instrText xml:space="preserve">NUMPAGES</w:instrText>
            </w:r>
            <w:r>
              <w:rPr>
                <w:sz w:val="24"/>
                <w:szCs w:val="24"/>
              </w:rPr>
              <w:fldChar w:fldCharType="separate"/>
            </w:r>
            <w:r>
              <w:t>1</w:t>
            </w:r>
            <w:r>
              <w:rPr>
                <w:sz w:val="24"/>
                <w:szCs w:val="24"/>
              </w:rPr>
              <w:fldChar w:fldCharType="end"/>
            </w:r>
          </w:p>
        </w:sdtContent>
      </w:sdt>
    </w:sdtContent>
  </w:sdt>
  <w:p w14:paraId="1B781C47">
    <w:pPr>
      <w:pStyle w:val="7"/>
    </w:pPr>
  </w:p>
  <w:p w14:paraId="6805AE4D"/>
  <w:p w14:paraId="56538EFE"/>
  <w:p w14:paraId="3B2F805C"/>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M1MmM5M2M2NTBiZWMwNDhjZDZlYThiZTE1NDIxZDkifQ=="/>
  </w:docVars>
  <w:rsids>
    <w:rsidRoot w:val="00ED5016"/>
    <w:rsid w:val="000047A5"/>
    <w:rsid w:val="000336F6"/>
    <w:rsid w:val="0003572C"/>
    <w:rsid w:val="00042FB6"/>
    <w:rsid w:val="00044642"/>
    <w:rsid w:val="00056DD6"/>
    <w:rsid w:val="00085D93"/>
    <w:rsid w:val="000C6FDC"/>
    <w:rsid w:val="000D2640"/>
    <w:rsid w:val="000D27C1"/>
    <w:rsid w:val="000D56EC"/>
    <w:rsid w:val="000E14A6"/>
    <w:rsid w:val="000E358D"/>
    <w:rsid w:val="00116337"/>
    <w:rsid w:val="00116AF9"/>
    <w:rsid w:val="0013448B"/>
    <w:rsid w:val="001575DA"/>
    <w:rsid w:val="00174F76"/>
    <w:rsid w:val="001E34DF"/>
    <w:rsid w:val="00236303"/>
    <w:rsid w:val="00272739"/>
    <w:rsid w:val="00284744"/>
    <w:rsid w:val="00292526"/>
    <w:rsid w:val="002B1F44"/>
    <w:rsid w:val="002C0695"/>
    <w:rsid w:val="002D203E"/>
    <w:rsid w:val="002D5F82"/>
    <w:rsid w:val="002D63B3"/>
    <w:rsid w:val="002E42C8"/>
    <w:rsid w:val="003139E5"/>
    <w:rsid w:val="00314024"/>
    <w:rsid w:val="00314CA3"/>
    <w:rsid w:val="00362D98"/>
    <w:rsid w:val="003945AE"/>
    <w:rsid w:val="00397332"/>
    <w:rsid w:val="003B555F"/>
    <w:rsid w:val="003C503F"/>
    <w:rsid w:val="003C7906"/>
    <w:rsid w:val="003F7B94"/>
    <w:rsid w:val="00400B04"/>
    <w:rsid w:val="00421B54"/>
    <w:rsid w:val="004256E4"/>
    <w:rsid w:val="00435869"/>
    <w:rsid w:val="0045012D"/>
    <w:rsid w:val="00460091"/>
    <w:rsid w:val="00490DCE"/>
    <w:rsid w:val="004A17A4"/>
    <w:rsid w:val="004A5B03"/>
    <w:rsid w:val="004F3835"/>
    <w:rsid w:val="0051607F"/>
    <w:rsid w:val="00574480"/>
    <w:rsid w:val="00582EB4"/>
    <w:rsid w:val="005B0802"/>
    <w:rsid w:val="005E27F9"/>
    <w:rsid w:val="005E44B6"/>
    <w:rsid w:val="005E5E1D"/>
    <w:rsid w:val="005F2563"/>
    <w:rsid w:val="00600A4B"/>
    <w:rsid w:val="00606833"/>
    <w:rsid w:val="00655ADD"/>
    <w:rsid w:val="0068157E"/>
    <w:rsid w:val="006C6F2B"/>
    <w:rsid w:val="006D28A8"/>
    <w:rsid w:val="006D59B2"/>
    <w:rsid w:val="00703812"/>
    <w:rsid w:val="007132D9"/>
    <w:rsid w:val="007324C6"/>
    <w:rsid w:val="0074407F"/>
    <w:rsid w:val="007706B7"/>
    <w:rsid w:val="00774FA8"/>
    <w:rsid w:val="00784227"/>
    <w:rsid w:val="00790158"/>
    <w:rsid w:val="007A6BEA"/>
    <w:rsid w:val="007B26EB"/>
    <w:rsid w:val="007E5700"/>
    <w:rsid w:val="00824AF7"/>
    <w:rsid w:val="00845C05"/>
    <w:rsid w:val="00877A35"/>
    <w:rsid w:val="008873A5"/>
    <w:rsid w:val="008C2813"/>
    <w:rsid w:val="008C5BEF"/>
    <w:rsid w:val="008C639E"/>
    <w:rsid w:val="008C677F"/>
    <w:rsid w:val="008E2F08"/>
    <w:rsid w:val="009001D6"/>
    <w:rsid w:val="0092119F"/>
    <w:rsid w:val="00924D30"/>
    <w:rsid w:val="009258EF"/>
    <w:rsid w:val="00934C3A"/>
    <w:rsid w:val="009551AC"/>
    <w:rsid w:val="00955DCC"/>
    <w:rsid w:val="00973F4D"/>
    <w:rsid w:val="00984797"/>
    <w:rsid w:val="009D2650"/>
    <w:rsid w:val="009F0B9F"/>
    <w:rsid w:val="00A204EF"/>
    <w:rsid w:val="00A26F98"/>
    <w:rsid w:val="00A4617C"/>
    <w:rsid w:val="00A473A6"/>
    <w:rsid w:val="00A70778"/>
    <w:rsid w:val="00A749B7"/>
    <w:rsid w:val="00AA0C74"/>
    <w:rsid w:val="00AA47FB"/>
    <w:rsid w:val="00AB411F"/>
    <w:rsid w:val="00AE746F"/>
    <w:rsid w:val="00B04F33"/>
    <w:rsid w:val="00B43EA1"/>
    <w:rsid w:val="00BB14A2"/>
    <w:rsid w:val="00BC7142"/>
    <w:rsid w:val="00BE09BF"/>
    <w:rsid w:val="00BE23B9"/>
    <w:rsid w:val="00BF09FD"/>
    <w:rsid w:val="00C13AEE"/>
    <w:rsid w:val="00C26CFA"/>
    <w:rsid w:val="00C33160"/>
    <w:rsid w:val="00C66645"/>
    <w:rsid w:val="00C827B4"/>
    <w:rsid w:val="00CA3C75"/>
    <w:rsid w:val="00CD1167"/>
    <w:rsid w:val="00CE1292"/>
    <w:rsid w:val="00CF0DE6"/>
    <w:rsid w:val="00D04080"/>
    <w:rsid w:val="00D27D65"/>
    <w:rsid w:val="00D42F8D"/>
    <w:rsid w:val="00D656A2"/>
    <w:rsid w:val="00D8398E"/>
    <w:rsid w:val="00DB0EE3"/>
    <w:rsid w:val="00DD43DE"/>
    <w:rsid w:val="00E036D3"/>
    <w:rsid w:val="00E331B3"/>
    <w:rsid w:val="00E36D9A"/>
    <w:rsid w:val="00E62B5A"/>
    <w:rsid w:val="00E93193"/>
    <w:rsid w:val="00E95E4E"/>
    <w:rsid w:val="00E97823"/>
    <w:rsid w:val="00EA15C6"/>
    <w:rsid w:val="00EA20CE"/>
    <w:rsid w:val="00EA7E48"/>
    <w:rsid w:val="00ED5016"/>
    <w:rsid w:val="00EE61BC"/>
    <w:rsid w:val="00F05089"/>
    <w:rsid w:val="00F17A62"/>
    <w:rsid w:val="00F23809"/>
    <w:rsid w:val="00F55F65"/>
    <w:rsid w:val="00F73ACD"/>
    <w:rsid w:val="00F75B22"/>
    <w:rsid w:val="00FB7F5E"/>
    <w:rsid w:val="00FC3EAB"/>
    <w:rsid w:val="00FE64E6"/>
    <w:rsid w:val="03990047"/>
    <w:rsid w:val="06DB44D3"/>
    <w:rsid w:val="0BC8771C"/>
    <w:rsid w:val="0C6D4039"/>
    <w:rsid w:val="0E332B12"/>
    <w:rsid w:val="0FA855BC"/>
    <w:rsid w:val="11A227FC"/>
    <w:rsid w:val="1AC2126F"/>
    <w:rsid w:val="1C033E58"/>
    <w:rsid w:val="1DCD471E"/>
    <w:rsid w:val="1E7C3E0D"/>
    <w:rsid w:val="212B632B"/>
    <w:rsid w:val="225E003A"/>
    <w:rsid w:val="26732DAD"/>
    <w:rsid w:val="272A5190"/>
    <w:rsid w:val="2794262B"/>
    <w:rsid w:val="2B34519E"/>
    <w:rsid w:val="310E0E7D"/>
    <w:rsid w:val="31AD4B3A"/>
    <w:rsid w:val="39691347"/>
    <w:rsid w:val="396D6381"/>
    <w:rsid w:val="3C77021F"/>
    <w:rsid w:val="3DC92CFC"/>
    <w:rsid w:val="446B0669"/>
    <w:rsid w:val="45E55812"/>
    <w:rsid w:val="46CF150C"/>
    <w:rsid w:val="4B0F7C21"/>
    <w:rsid w:val="4CAA5AA7"/>
    <w:rsid w:val="4E5F5F21"/>
    <w:rsid w:val="55B21CEA"/>
    <w:rsid w:val="5DF433F6"/>
    <w:rsid w:val="5DF50B4C"/>
    <w:rsid w:val="5EDC596C"/>
    <w:rsid w:val="614B1AD7"/>
    <w:rsid w:val="665B2897"/>
    <w:rsid w:val="68D67C8F"/>
    <w:rsid w:val="6B0E7C76"/>
    <w:rsid w:val="6B3A77AF"/>
    <w:rsid w:val="6E5378F4"/>
    <w:rsid w:val="74DA0FEA"/>
    <w:rsid w:val="79A11E5C"/>
    <w:rsid w:val="7AB80EBE"/>
    <w:rsid w:val="7AEC2D48"/>
    <w:rsid w:val="7BF576B1"/>
    <w:rsid w:val="7DCC00D0"/>
    <w:rsid w:val="F79F82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黑体" w:hAnsi="黑体" w:eastAsia="黑体" w:cstheme="minorBidi"/>
      <w:kern w:val="2"/>
      <w:sz w:val="24"/>
      <w:szCs w:val="28"/>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link w:val="16"/>
    <w:autoRedefine/>
    <w:qFormat/>
    <w:uiPriority w:val="0"/>
    <w:pPr>
      <w:keepNext/>
      <w:keepLines/>
      <w:spacing w:before="260" w:after="260" w:line="413" w:lineRule="auto"/>
      <w:outlineLvl w:val="2"/>
    </w:pPr>
    <w:rPr>
      <w:rFonts w:ascii="Times New Roman" w:hAnsi="Times New Roman" w:eastAsia="宋体" w:cs="Times New Roman"/>
      <w:b/>
      <w:sz w:val="32"/>
      <w:szCs w:val="24"/>
    </w:rPr>
  </w:style>
  <w:style w:type="paragraph" w:styleId="4">
    <w:name w:val="heading 4"/>
    <w:basedOn w:val="1"/>
    <w:next w:val="1"/>
    <w:semiHidden/>
    <w:unhideWhenUsed/>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17"/>
    <w:autoRedefine/>
    <w:qFormat/>
    <w:uiPriority w:val="1"/>
    <w:pPr>
      <w:autoSpaceDE w:val="0"/>
      <w:autoSpaceDN w:val="0"/>
      <w:spacing w:before="144" w:line="360" w:lineRule="auto"/>
    </w:pPr>
    <w:rPr>
      <w:rFonts w:ascii="微软雅黑" w:hAnsi="微软雅黑" w:eastAsia="微软雅黑" w:cs="微软雅黑"/>
      <w:b/>
      <w:kern w:val="0"/>
      <w:sz w:val="28"/>
      <w:szCs w:val="30"/>
      <w:lang w:val="zh-CN" w:bidi="zh-CN"/>
    </w:rPr>
  </w:style>
  <w:style w:type="paragraph" w:styleId="6">
    <w:name w:val="Balloon Text"/>
    <w:basedOn w:val="1"/>
    <w:link w:val="18"/>
    <w:autoRedefine/>
    <w:semiHidden/>
    <w:unhideWhenUsed/>
    <w:qFormat/>
    <w:uiPriority w:val="99"/>
    <w:rPr>
      <w:sz w:val="18"/>
      <w:szCs w:val="18"/>
    </w:rPr>
  </w:style>
  <w:style w:type="paragraph" w:styleId="7">
    <w:name w:val="footer"/>
    <w:basedOn w:val="1"/>
    <w:link w:val="13"/>
    <w:autoRedefine/>
    <w:unhideWhenUsed/>
    <w:qFormat/>
    <w:uiPriority w:val="99"/>
    <w:pPr>
      <w:tabs>
        <w:tab w:val="center" w:pos="4153"/>
        <w:tab w:val="right" w:pos="8306"/>
      </w:tabs>
      <w:snapToGrid w:val="0"/>
    </w:pPr>
    <w:rPr>
      <w:sz w:val="18"/>
      <w:szCs w:val="18"/>
    </w:rPr>
  </w:style>
  <w:style w:type="paragraph" w:styleId="8">
    <w:name w:val="header"/>
    <w:basedOn w:val="1"/>
    <w:link w:val="14"/>
    <w:autoRedefine/>
    <w:unhideWhenUsed/>
    <w:qFormat/>
    <w:uiPriority w:val="99"/>
    <w:pPr>
      <w:pBdr>
        <w:bottom w:val="single" w:color="auto" w:sz="6" w:space="1"/>
      </w:pBdr>
      <w:tabs>
        <w:tab w:val="center" w:pos="4153"/>
        <w:tab w:val="right" w:pos="8306"/>
      </w:tabs>
      <w:snapToGrid w:val="0"/>
    </w:pPr>
    <w:rPr>
      <w:sz w:val="18"/>
      <w:szCs w:val="18"/>
    </w:rPr>
  </w:style>
  <w:style w:type="table" w:styleId="10">
    <w:name w:val="Table Grid"/>
    <w:basedOn w:val="9"/>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customStyle="1" w:styleId="13">
    <w:name w:val="页脚 字符"/>
    <w:basedOn w:val="11"/>
    <w:link w:val="7"/>
    <w:qFormat/>
    <w:uiPriority w:val="99"/>
    <w:rPr>
      <w:sz w:val="18"/>
      <w:szCs w:val="18"/>
    </w:rPr>
  </w:style>
  <w:style w:type="character" w:customStyle="1" w:styleId="14">
    <w:name w:val="页眉 字符"/>
    <w:basedOn w:val="11"/>
    <w:link w:val="8"/>
    <w:autoRedefine/>
    <w:qFormat/>
    <w:uiPriority w:val="99"/>
    <w:rPr>
      <w:sz w:val="18"/>
      <w:szCs w:val="18"/>
    </w:rPr>
  </w:style>
  <w:style w:type="paragraph" w:styleId="15">
    <w:name w:val="List Paragraph"/>
    <w:basedOn w:val="1"/>
    <w:autoRedefine/>
    <w:qFormat/>
    <w:uiPriority w:val="34"/>
    <w:pPr>
      <w:ind w:firstLine="420" w:firstLineChars="200"/>
    </w:pPr>
  </w:style>
  <w:style w:type="character" w:customStyle="1" w:styleId="16">
    <w:name w:val="标题 3 字符"/>
    <w:basedOn w:val="11"/>
    <w:link w:val="3"/>
    <w:qFormat/>
    <w:uiPriority w:val="0"/>
    <w:rPr>
      <w:rFonts w:ascii="Times New Roman" w:hAnsi="Times New Roman" w:eastAsia="宋体" w:cs="Times New Roman"/>
      <w:b/>
      <w:sz w:val="32"/>
      <w:szCs w:val="24"/>
    </w:rPr>
  </w:style>
  <w:style w:type="character" w:customStyle="1" w:styleId="17">
    <w:name w:val="正文文本 字符"/>
    <w:basedOn w:val="11"/>
    <w:link w:val="5"/>
    <w:autoRedefine/>
    <w:qFormat/>
    <w:uiPriority w:val="1"/>
    <w:rPr>
      <w:rFonts w:ascii="微软雅黑" w:hAnsi="微软雅黑" w:eastAsia="微软雅黑" w:cs="微软雅黑"/>
      <w:b/>
      <w:sz w:val="28"/>
      <w:szCs w:val="30"/>
      <w:lang w:val="zh-CN" w:bidi="zh-CN"/>
    </w:rPr>
  </w:style>
  <w:style w:type="character" w:customStyle="1" w:styleId="18">
    <w:name w:val="批注框文本 字符"/>
    <w:basedOn w:val="11"/>
    <w:link w:val="6"/>
    <w:autoRedefine/>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6</Pages>
  <Words>1974</Words>
  <Characters>2443</Characters>
  <Lines>7</Lines>
  <Paragraphs>2</Paragraphs>
  <TotalTime>3</TotalTime>
  <ScaleCrop>false</ScaleCrop>
  <LinksUpToDate>false</LinksUpToDate>
  <CharactersWithSpaces>2673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2024-09-27T01:19:00Z</dcterms:created>
  <dc:creator>freeuser</dc:creator>
  <cp:lastModifiedBy>Lc</cp:lastModifiedBy>
  <cp:lastPrinted>2024-03-12T17:24:00Z</cp:lastPrinted>
  <dcterms:modified xsi:type="dcterms:W3CDTF">2026-10-20T06:27:25Z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4A2536C033124FD997F9CF8D9703EAF5_13</vt:lpwstr>
  </property>
  <property fmtid="{D5CDD505-2E9C-101B-9397-08002B2CF9AE}" pid="4" name="KSOTemplateDocerSaveRecord">
    <vt:lpwstr>eyJoZGlkIjoiMjZmYmM5MWVlYWQzYTI1NDdmNjJjMDBlZmZlZWI1MWQiLCJ1c2VySWQiOiI5NzQzMDM5MTEifQ==</vt:lpwstr>
  </property>
</Properties>
</file>