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hint="eastAsia" w:ascii="Times New Roman" w:hAnsi="Times New Roman" w:cs="Times New Roman" w:eastAsiaTheme="minorEastAsia"/>
          <w:lang w:val="en-US" w:eastAsia="zh-CN"/>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r>
        <w:rPr>
          <w:rFonts w:hint="eastAsia" w:ascii="Times New Roman" w:hAnsi="Times New Roman" w:cs="Times New Roman" w:eastAsiaTheme="minorEastAsia"/>
        </w:rPr>
        <w:t>报价不得高于预算总价。</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FB65A2B">
      <w:pPr>
        <w:spacing w:line="360" w:lineRule="auto"/>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5. 本项目</w:t>
      </w:r>
      <w:bookmarkStart w:id="0" w:name="_GoBack"/>
      <w:bookmarkEnd w:id="0"/>
      <w:r>
        <w:rPr>
          <w:rFonts w:hint="eastAsia" w:ascii="Times New Roman" w:hAnsi="Times New Roman" w:cs="Times New Roman" w:eastAsiaTheme="minorEastAsia"/>
          <w:lang w:val="en-US" w:eastAsia="zh-CN"/>
        </w:rPr>
        <w:t>预算限价为9.6万元。</w:t>
      </w:r>
    </w:p>
    <w:p w14:paraId="7A677231">
      <w:pPr>
        <w:spacing w:line="360" w:lineRule="auto"/>
        <w:rPr>
          <w:rFonts w:ascii="Times New Roman" w:hAnsi="Times New Roman" w:cs="Times New Roman" w:eastAsiaTheme="minorEastAsia"/>
        </w:rPr>
      </w:pPr>
      <w:r>
        <w:rPr>
          <w:rFonts w:hint="eastAsia" w:ascii="Times New Roman" w:hAnsi="Times New Roman" w:cs="Times New Roman" w:eastAsiaTheme="minorEastAsia"/>
          <w:lang w:val="en-US" w:eastAsia="zh-CN"/>
        </w:rPr>
        <w:t>6</w:t>
      </w:r>
      <w:r>
        <w:rPr>
          <w:rFonts w:ascii="Times New Roman" w:hAnsi="Times New Roman" w:cs="Times New Roman" w:eastAsiaTheme="minorEastAsia"/>
        </w:rPr>
        <w:t>.  质保期：不少于</w:t>
      </w:r>
      <w:r>
        <w:rPr>
          <w:rFonts w:hint="eastAsia" w:ascii="Times New Roman" w:hAnsi="Times New Roman" w:cs="Times New Roman" w:eastAsiaTheme="minorEastAsia"/>
        </w:rPr>
        <w:t>一</w:t>
      </w:r>
      <w:r>
        <w:rPr>
          <w:rFonts w:ascii="Times New Roman" w:hAnsi="Times New Roman" w:cs="Times New Roman" w:eastAsiaTheme="minorEastAsia"/>
        </w:rPr>
        <w:t>年。</w:t>
      </w:r>
    </w:p>
    <w:p w14:paraId="6D94A9E0">
      <w:pPr>
        <w:spacing w:line="360" w:lineRule="auto"/>
      </w:pPr>
      <w:r>
        <w:rPr>
          <w:rFonts w:hint="eastAsia" w:ascii="Times New Roman" w:hAnsi="Times New Roman" w:cs="Times New Roman" w:eastAsiaTheme="minorEastAsia"/>
          <w:lang w:val="en-US" w:eastAsia="zh-CN"/>
        </w:rPr>
        <w:t>7</w:t>
      </w:r>
      <w:r>
        <w:rPr>
          <w:rFonts w:ascii="Times New Roman" w:hAnsi="Times New Roman" w:cs="Times New Roman" w:eastAsiaTheme="minorEastAsia"/>
        </w:rPr>
        <w:t>.  响应文件密封后2026年1月</w:t>
      </w:r>
      <w:r>
        <w:rPr>
          <w:rFonts w:hint="eastAsia" w:ascii="Times New Roman" w:hAnsi="Times New Roman" w:cs="Times New Roman" w:eastAsiaTheme="minorEastAsia"/>
          <w:lang w:val="en-US" w:eastAsia="zh-CN"/>
        </w:rPr>
        <w:t>22</w:t>
      </w:r>
      <w:r>
        <w:rPr>
          <w:rFonts w:ascii="Times New Roman" w:hAnsi="Times New Roman" w:cs="Times New Roman" w:eastAsiaTheme="minorEastAsia"/>
        </w:rPr>
        <w:t>日1</w:t>
      </w:r>
      <w:r>
        <w:rPr>
          <w:rFonts w:hint="eastAsia" w:ascii="Times New Roman" w:hAnsi="Times New Roman" w:cs="Times New Roman" w:eastAsiaTheme="minorEastAsia"/>
          <w:lang w:val="en-US" w:eastAsia="zh-CN"/>
        </w:rPr>
        <w:t>7</w:t>
      </w:r>
      <w:r>
        <w:rPr>
          <w:rFonts w:ascii="Times New Roman" w:hAnsi="Times New Roman" w:cs="Times New Roman" w:eastAsiaTheme="minorEastAsia"/>
        </w:rPr>
        <w:t>点前送到</w:t>
      </w:r>
      <w:r>
        <w:rPr>
          <w:rFonts w:hint="eastAsia" w:ascii="Times New Roman" w:hAnsi="Times New Roman" w:cs="Times New Roman" w:eastAsiaTheme="minorEastAsia"/>
        </w:rPr>
        <w:t>江苏师范大学泉山校区35号教学楼210办公室，联系人周老师，19852086672</w:t>
      </w:r>
      <w:r>
        <w:rPr>
          <w:rFonts w:hint="eastAsia"/>
        </w:rPr>
        <w:t>。</w:t>
      </w:r>
    </w:p>
    <w:p w14:paraId="646BE6D5"/>
    <w:p w14:paraId="7A04EC7B"/>
    <w:p w14:paraId="00CBB619">
      <w:pPr>
        <w:pStyle w:val="3"/>
        <w:rPr>
          <w:lang w:val="en-US"/>
        </w:rPr>
      </w:pPr>
    </w:p>
    <w:p w14:paraId="494D82C8">
      <w:pPr>
        <w:pStyle w:val="3"/>
        <w:rPr>
          <w:lang w:val="en-US"/>
        </w:rPr>
      </w:pPr>
    </w:p>
    <w:p w14:paraId="74612BA1">
      <w:pPr>
        <w:pStyle w:val="3"/>
        <w:rPr>
          <w:lang w:val="en-US"/>
        </w:rPr>
      </w:pPr>
    </w:p>
    <w:p w14:paraId="4EF87913">
      <w:pPr>
        <w:pStyle w:val="3"/>
      </w:pPr>
      <w:r>
        <w:rPr>
          <w:rFonts w:hint="eastAsia"/>
        </w:rPr>
        <w:t>需方参数需求：</w:t>
      </w:r>
    </w:p>
    <w:p w14:paraId="125CF6C5">
      <w:pPr>
        <w:jc w:val="center"/>
        <w:rPr>
          <w:rFonts w:eastAsiaTheme="minorEastAsia"/>
          <w:szCs w:val="22"/>
        </w:rPr>
      </w:pPr>
    </w:p>
    <w:tbl>
      <w:tblPr>
        <w:tblStyle w:val="7"/>
        <w:tblW w:w="13042" w:type="dxa"/>
        <w:tblInd w:w="0" w:type="dxa"/>
        <w:tblLayout w:type="fixed"/>
        <w:tblCellMar>
          <w:top w:w="0" w:type="dxa"/>
          <w:left w:w="108" w:type="dxa"/>
          <w:bottom w:w="0" w:type="dxa"/>
          <w:right w:w="108" w:type="dxa"/>
        </w:tblCellMar>
      </w:tblPr>
      <w:tblGrid>
        <w:gridCol w:w="988"/>
        <w:gridCol w:w="1275"/>
        <w:gridCol w:w="6444"/>
        <w:gridCol w:w="2055"/>
        <w:gridCol w:w="1215"/>
        <w:gridCol w:w="1065"/>
      </w:tblGrid>
      <w:tr w14:paraId="0AE06B82">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设备名称</w:t>
            </w:r>
          </w:p>
        </w:tc>
        <w:tc>
          <w:tcPr>
            <w:tcW w:w="6444"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设备参数</w:t>
            </w:r>
          </w:p>
        </w:tc>
        <w:tc>
          <w:tcPr>
            <w:tcW w:w="2055"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设备品牌</w:t>
            </w:r>
          </w:p>
        </w:tc>
        <w:tc>
          <w:tcPr>
            <w:tcW w:w="1215"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设备型号</w:t>
            </w: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14:paraId="3794EED8">
        <w:tblPrEx>
          <w:tblCellMar>
            <w:top w:w="0" w:type="dxa"/>
            <w:left w:w="108" w:type="dxa"/>
            <w:bottom w:w="0" w:type="dxa"/>
            <w:right w:w="108" w:type="dxa"/>
          </w:tblCellMar>
        </w:tblPrEx>
        <w:trPr>
          <w:trHeight w:val="97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E8912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75" w:type="dxa"/>
            <w:tcBorders>
              <w:top w:val="nil"/>
              <w:left w:val="nil"/>
              <w:bottom w:val="single" w:color="auto" w:sz="4" w:space="0"/>
              <w:right w:val="single" w:color="auto" w:sz="4" w:space="0"/>
            </w:tcBorders>
            <w:shd w:val="clear" w:color="auto" w:fill="auto"/>
            <w:noWrap/>
            <w:vAlign w:val="center"/>
          </w:tcPr>
          <w:p w14:paraId="4B8EDC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网络摄像机</w:t>
            </w:r>
          </w:p>
        </w:tc>
        <w:tc>
          <w:tcPr>
            <w:tcW w:w="6444" w:type="dxa"/>
            <w:tcBorders>
              <w:top w:val="nil"/>
              <w:left w:val="nil"/>
              <w:bottom w:val="single" w:color="auto" w:sz="4" w:space="0"/>
              <w:right w:val="single" w:color="auto" w:sz="4" w:space="0"/>
            </w:tcBorders>
            <w:shd w:val="clear" w:color="auto" w:fill="auto"/>
            <w:vAlign w:val="center"/>
          </w:tcPr>
          <w:p w14:paraId="42A16E88">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1、采用不低于400万像素1/1.8英寸CMOS图像传感器，低照度效果好，图像清晰度高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2、采用AI ISP技术，支持周界防范（绊线入侵，区域入侵）、SMD Plus(人形/车形检测)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防补光过曝功能，其支持人脸优先、车牌优先、关闭3种模式;开启人脸优先功能,设备检测到人员后可自动调节补光灯的亮度,人员离开后补光灯恢复;开启车牌优先功能,设备检测到车辆后可自动开启补光灯并调节亮度,车辆离开后补光灯关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超感光功能自动调节，可自动调节画面中人脸、人体目标以及环境景物的亮度、色彩饱和度、对比度、锐度;画面信噪比不小于50dB,色彩饱和度不小于120%（实际试验环境照度:0.2lx信噪比:50dB色彩饱和度:144.9%）</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5、支持畸变矫正功能(LDC),开启畸变矫正功能后,输出图像的几何失真、画面畸变应减小;开启畸变矫正功能,几何失真应小于等于9.2%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6、内置MIC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7、支持DC12V/POE供电方式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8、支持IP67防护等级</w:t>
            </w:r>
          </w:p>
        </w:tc>
        <w:tc>
          <w:tcPr>
            <w:tcW w:w="2055" w:type="dxa"/>
            <w:tcBorders>
              <w:top w:val="nil"/>
              <w:left w:val="nil"/>
              <w:bottom w:val="single" w:color="auto" w:sz="4" w:space="0"/>
              <w:right w:val="single" w:color="auto" w:sz="4" w:space="0"/>
            </w:tcBorders>
            <w:shd w:val="clear" w:color="auto" w:fill="auto"/>
            <w:noWrap/>
            <w:vAlign w:val="center"/>
          </w:tcPr>
          <w:p w14:paraId="461A3C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大华 </w:t>
            </w:r>
          </w:p>
        </w:tc>
        <w:tc>
          <w:tcPr>
            <w:tcW w:w="1215" w:type="dxa"/>
            <w:tcBorders>
              <w:top w:val="nil"/>
              <w:left w:val="nil"/>
              <w:bottom w:val="single" w:color="auto" w:sz="4" w:space="0"/>
              <w:right w:val="single" w:color="auto" w:sz="4" w:space="0"/>
            </w:tcBorders>
            <w:shd w:val="clear" w:color="auto" w:fill="auto"/>
            <w:noWrap/>
            <w:vAlign w:val="center"/>
          </w:tcPr>
          <w:p w14:paraId="778F3C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DH-IPC-HFW6440S</w:t>
            </w:r>
          </w:p>
        </w:tc>
        <w:tc>
          <w:tcPr>
            <w:tcW w:w="1065" w:type="dxa"/>
            <w:tcBorders>
              <w:top w:val="nil"/>
              <w:left w:val="nil"/>
              <w:bottom w:val="single" w:color="auto" w:sz="4" w:space="0"/>
              <w:right w:val="single" w:color="auto" w:sz="4" w:space="0"/>
            </w:tcBorders>
            <w:shd w:val="clear" w:color="auto" w:fill="auto"/>
            <w:noWrap/>
            <w:vAlign w:val="center"/>
          </w:tcPr>
          <w:p w14:paraId="4D03C5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36</w:t>
            </w:r>
          </w:p>
        </w:tc>
      </w:tr>
      <w:tr w14:paraId="70C7AE72">
        <w:tblPrEx>
          <w:tblCellMar>
            <w:top w:w="0" w:type="dxa"/>
            <w:left w:w="108" w:type="dxa"/>
            <w:bottom w:w="0" w:type="dxa"/>
            <w:right w:w="108" w:type="dxa"/>
          </w:tblCellMar>
        </w:tblPrEx>
        <w:trPr>
          <w:trHeight w:val="47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679BB24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75" w:type="dxa"/>
            <w:tcBorders>
              <w:top w:val="nil"/>
              <w:left w:val="nil"/>
              <w:bottom w:val="single" w:color="auto" w:sz="4" w:space="0"/>
              <w:right w:val="single" w:color="auto" w:sz="4" w:space="0"/>
            </w:tcBorders>
            <w:shd w:val="clear" w:color="auto" w:fill="auto"/>
            <w:noWrap/>
            <w:vAlign w:val="center"/>
          </w:tcPr>
          <w:p w14:paraId="5B1337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视频处理器</w:t>
            </w:r>
          </w:p>
        </w:tc>
        <w:tc>
          <w:tcPr>
            <w:tcW w:w="6444" w:type="dxa"/>
            <w:tcBorders>
              <w:top w:val="nil"/>
              <w:left w:val="nil"/>
              <w:bottom w:val="single" w:color="auto" w:sz="4" w:space="0"/>
              <w:right w:val="single" w:color="auto" w:sz="4" w:space="0"/>
            </w:tcBorders>
            <w:shd w:val="clear" w:color="auto" w:fill="auto"/>
            <w:vAlign w:val="center"/>
          </w:tcPr>
          <w:p w14:paraId="0B45A81C">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1、支持至少 5 路输入接口，包括 1 路 DVI，1 路 HDMI1.3，1 路 VGA，1 路 USB 播放，1 路 CVBS，以适用各种前端输入信号；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2、集成发送卡和视频处理器的功能，简化系统链路，提高系统的稳定性及兼容性；。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3、支持插入U盘播放1080P以内的视频及图片；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4、设备前面板配备直观的 LCD 显示界面，可直接观察网口的通讯状态，设备型号，屏幕大小及信号源状态等信息，简化系统的控制操作。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5、支持配合多功能卡，实现对屏体电源的手动控制，自动控制，以及软件控制，灵活简单。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 DVI、HDMI 的输入分辨率自定义调节;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7、支持逐点亮度校正，可以对所有灯点的亮度和色度进行采集校正，有效消除LED模组的色差，使整屏的亮度和色度达到高度均匀一致，提高显示屏的画质。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8、支持快捷点屏，通过旋钮简单操作即可完成屏体配置。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9、支持 4 个千兆网口输出，最大带载 可达260 万像素。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10、支持创建 不少于6个用户场景作为模板保存，可直接调用，方便使用。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11、支持通过 RS232 协议连接中控设备。</w:t>
            </w:r>
          </w:p>
        </w:tc>
        <w:tc>
          <w:tcPr>
            <w:tcW w:w="2055" w:type="dxa"/>
            <w:tcBorders>
              <w:top w:val="nil"/>
              <w:left w:val="nil"/>
              <w:bottom w:val="single" w:color="auto" w:sz="4" w:space="0"/>
              <w:right w:val="single" w:color="auto" w:sz="4" w:space="0"/>
            </w:tcBorders>
            <w:shd w:val="clear" w:color="auto" w:fill="auto"/>
            <w:noWrap/>
            <w:vAlign w:val="center"/>
          </w:tcPr>
          <w:p w14:paraId="0A4EF5E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诺瓦</w:t>
            </w:r>
          </w:p>
        </w:tc>
        <w:tc>
          <w:tcPr>
            <w:tcW w:w="1215" w:type="dxa"/>
            <w:tcBorders>
              <w:top w:val="nil"/>
              <w:left w:val="nil"/>
              <w:bottom w:val="single" w:color="auto" w:sz="4" w:space="0"/>
              <w:right w:val="single" w:color="auto" w:sz="4" w:space="0"/>
            </w:tcBorders>
            <w:shd w:val="clear" w:color="auto" w:fill="auto"/>
            <w:noWrap/>
            <w:vAlign w:val="center"/>
          </w:tcPr>
          <w:p w14:paraId="123BFCC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V960</w:t>
            </w:r>
          </w:p>
        </w:tc>
        <w:tc>
          <w:tcPr>
            <w:tcW w:w="1065" w:type="dxa"/>
            <w:tcBorders>
              <w:top w:val="nil"/>
              <w:left w:val="nil"/>
              <w:bottom w:val="single" w:color="auto" w:sz="4" w:space="0"/>
              <w:right w:val="single" w:color="auto" w:sz="4" w:space="0"/>
            </w:tcBorders>
            <w:shd w:val="clear" w:color="auto" w:fill="auto"/>
            <w:noWrap/>
            <w:vAlign w:val="center"/>
          </w:tcPr>
          <w:p w14:paraId="225C32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r>
      <w:tr w14:paraId="711D8346">
        <w:tblPrEx>
          <w:tblCellMar>
            <w:top w:w="0" w:type="dxa"/>
            <w:left w:w="108" w:type="dxa"/>
            <w:bottom w:w="0" w:type="dxa"/>
            <w:right w:w="108" w:type="dxa"/>
          </w:tblCellMar>
        </w:tblPrEx>
        <w:trPr>
          <w:trHeight w:val="66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33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307B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音箱</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4DC8AC4">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1.专业级线阵列音柱，声场覆盖均匀，传声增益更高而不易啸叫，解决有建声缺陷环境的扩声需求。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2.紧凑型设计，高保真音质；内置不低于4个3英寸全频扬声器单元；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3.要求高性能，宽频响：功率≥60W（6Ω），输出音量高，频响带宽平直，最低频率可低至80Hz。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4.覆盖角度（水平方向≤160°，垂直方向≤35°），灵敏度≥89dB，声压级≥105dB。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5.箱体具有防尘防水功能，在湿度较高的潮湿环境中充分满足扩声需求。</w:t>
            </w: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4686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台电</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52FA6">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HCL-2240_W</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1C80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6</w:t>
            </w:r>
          </w:p>
        </w:tc>
      </w:tr>
      <w:tr w14:paraId="206174F2">
        <w:tblPrEx>
          <w:tblCellMar>
            <w:top w:w="0" w:type="dxa"/>
            <w:left w:w="108" w:type="dxa"/>
            <w:bottom w:w="0" w:type="dxa"/>
            <w:right w:w="108" w:type="dxa"/>
          </w:tblCellMar>
        </w:tblPrEx>
        <w:trPr>
          <w:trHeight w:val="1282"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0366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133CD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数字红外无线扩声系统主机</w:t>
            </w:r>
          </w:p>
        </w:tc>
        <w:tc>
          <w:tcPr>
            <w:tcW w:w="6444" w:type="dxa"/>
            <w:tcBorders>
              <w:top w:val="single" w:color="auto" w:sz="4" w:space="0"/>
              <w:left w:val="nil"/>
              <w:bottom w:val="single" w:color="auto" w:sz="4" w:space="0"/>
              <w:right w:val="single" w:color="auto" w:sz="4" w:space="0"/>
            </w:tcBorders>
            <w:shd w:val="clear" w:color="auto" w:fill="auto"/>
            <w:vAlign w:val="center"/>
          </w:tcPr>
          <w:p w14:paraId="6B6D2C7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1.系统采用数字红外音频传输及控制技术；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2.≥3个RJ45接口，用于接数字红外接收器或连接网络实现实现远程控制与管理，可配2支红外麦克风同时使用；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3.≥2路3PIN凤凰头座子带音量调节旋钮，用于扩展连接吊装式麦克风，具备AFC功能；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4.≥2路USB接口,一路USB口用于连接麦克风充电座或有线麦克风进行音频传输；另外一路USB接口可连接到电脑(PC)，支持数字音频输入输出，配合数字红外无线麦克风可实现PPT翻页功能；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5.内置功放，具有4个扬声器接口，内置功放最大输出功率：60 W×4（8 Ω）；≥2路线路输入，≥2路线路输出，需配有不少于1个录音输出接口，用于常态化录播；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6.支持至少5种模式，适合不同形态教室场景使用；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9.具备设置工具软件设置音量、降噪、低切、自动均衡、音效、反馈抑制、混响抑制和16段均衡参数等功能；以上软件功能提供原厂白皮书或软件截图证明。</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7.支持吊麦智能自学习功能，用于校准系统中连接的音频设备在当前声场环境中的参数(即进入系统主菜单后，可确认智能校准开始,系统首先播放粉红噪音，达到吊麦自学习的效果)；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8.需支持两种控制方式：RS-232双向通讯串口和网络UDP协议控制。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9.频率响应（麦克风-主机）100Hz～20kHz；信噪比≥90 dBA；总谐波失真≤0.05%；增益差≤0.15dB。</w:t>
            </w:r>
          </w:p>
        </w:tc>
        <w:tc>
          <w:tcPr>
            <w:tcW w:w="2055" w:type="dxa"/>
            <w:tcBorders>
              <w:top w:val="single" w:color="auto" w:sz="4" w:space="0"/>
              <w:left w:val="nil"/>
              <w:bottom w:val="single" w:color="auto" w:sz="4" w:space="0"/>
              <w:right w:val="single" w:color="auto" w:sz="4" w:space="0"/>
            </w:tcBorders>
            <w:shd w:val="clear" w:color="auto" w:fill="auto"/>
            <w:noWrap/>
            <w:vAlign w:val="center"/>
          </w:tcPr>
          <w:p w14:paraId="5650A0D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台电</w:t>
            </w:r>
          </w:p>
        </w:tc>
        <w:tc>
          <w:tcPr>
            <w:tcW w:w="1215" w:type="dxa"/>
            <w:tcBorders>
              <w:top w:val="single" w:color="auto" w:sz="4" w:space="0"/>
              <w:left w:val="nil"/>
              <w:bottom w:val="single" w:color="auto" w:sz="4" w:space="0"/>
              <w:right w:val="single" w:color="auto" w:sz="4" w:space="0"/>
            </w:tcBorders>
            <w:shd w:val="clear" w:color="auto" w:fill="auto"/>
            <w:noWrap/>
            <w:vAlign w:val="center"/>
          </w:tcPr>
          <w:p w14:paraId="6E36FB1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TES-5600</w:t>
            </w: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4E4BC1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r>
      <w:tr w14:paraId="520831CB">
        <w:tblPrEx>
          <w:tblCellMar>
            <w:top w:w="0" w:type="dxa"/>
            <w:left w:w="108" w:type="dxa"/>
            <w:bottom w:w="0" w:type="dxa"/>
            <w:right w:w="108" w:type="dxa"/>
          </w:tblCellMar>
        </w:tblPrEx>
        <w:trPr>
          <w:trHeight w:val="1072"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F20546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75" w:type="dxa"/>
            <w:tcBorders>
              <w:top w:val="nil"/>
              <w:left w:val="nil"/>
              <w:bottom w:val="single" w:color="auto" w:sz="4" w:space="0"/>
              <w:right w:val="single" w:color="auto" w:sz="4" w:space="0"/>
            </w:tcBorders>
            <w:shd w:val="clear" w:color="auto" w:fill="auto"/>
            <w:noWrap/>
            <w:vAlign w:val="center"/>
          </w:tcPr>
          <w:p w14:paraId="7651CE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电源时序器</w:t>
            </w:r>
          </w:p>
        </w:tc>
        <w:tc>
          <w:tcPr>
            <w:tcW w:w="6444" w:type="dxa"/>
            <w:tcBorders>
              <w:top w:val="nil"/>
              <w:left w:val="nil"/>
              <w:bottom w:val="single" w:color="auto" w:sz="4" w:space="0"/>
              <w:right w:val="single" w:color="auto" w:sz="4" w:space="0"/>
            </w:tcBorders>
            <w:shd w:val="clear" w:color="auto" w:fill="auto"/>
            <w:vAlign w:val="center"/>
          </w:tcPr>
          <w:p w14:paraId="3B6066E0">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 有效按开机先前及后、关机则先后及前的顺序开关，每路输出带指示灯，开关控制电源；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 减少用电设备对输电线路启动产生的冲击电流，支持面板Lock锁定功能；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 配置彩屏显示窗口, 实时显示当前电压、日期时间， 定时开关机功能，内置时钟芯片，可根据日期时间设定；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 总共可控制8路管理电源，8路通道输出，两路辅助通道，每路延时开启和关闭时间可0-999秒自定义设置；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 通道开关状态额定输出电流高达30A ；单路额定输出电流：10A；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 主机设置一路短路输入一路短路输出口，可实现多台链接，方便使用；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 配置RS232接口，支持外部中央控制设备控制，6种波特率可选择；可实现远程集中控制，每台设备自带设备编码ID检测和设置；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 内置8组设备开关场景数据保存/调用；系统管理员得以场景管理应用简单便捷，切断用电设备的电源的工作。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额定输出电压：交流220V，50Hz；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额定输出电流：30A，单路额定输出电源：10A；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可控制电源: 8路+2路辅助；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每路动作延时时间: 1-999秒；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供电电源：220V AC50/60Hz；</w:t>
            </w:r>
          </w:p>
        </w:tc>
        <w:tc>
          <w:tcPr>
            <w:tcW w:w="2055" w:type="dxa"/>
            <w:tcBorders>
              <w:top w:val="nil"/>
              <w:left w:val="nil"/>
              <w:bottom w:val="single" w:color="auto" w:sz="4" w:space="0"/>
              <w:right w:val="single" w:color="auto" w:sz="4" w:space="0"/>
            </w:tcBorders>
            <w:shd w:val="clear" w:color="auto" w:fill="auto"/>
            <w:noWrap/>
            <w:vAlign w:val="center"/>
          </w:tcPr>
          <w:p w14:paraId="3AE7238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雷拓</w:t>
            </w:r>
          </w:p>
        </w:tc>
        <w:tc>
          <w:tcPr>
            <w:tcW w:w="1215" w:type="dxa"/>
            <w:tcBorders>
              <w:top w:val="nil"/>
              <w:left w:val="nil"/>
              <w:bottom w:val="single" w:color="auto" w:sz="4" w:space="0"/>
              <w:right w:val="single" w:color="auto" w:sz="4" w:space="0"/>
            </w:tcBorders>
            <w:shd w:val="clear" w:color="auto" w:fill="auto"/>
            <w:noWrap/>
            <w:vAlign w:val="center"/>
          </w:tcPr>
          <w:p w14:paraId="40D81B6A">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BS-6306</w:t>
            </w:r>
          </w:p>
        </w:tc>
        <w:tc>
          <w:tcPr>
            <w:tcW w:w="1065" w:type="dxa"/>
            <w:tcBorders>
              <w:top w:val="nil"/>
              <w:left w:val="nil"/>
              <w:bottom w:val="single" w:color="auto" w:sz="4" w:space="0"/>
              <w:right w:val="single" w:color="auto" w:sz="4" w:space="0"/>
            </w:tcBorders>
            <w:shd w:val="clear" w:color="auto" w:fill="auto"/>
            <w:noWrap/>
            <w:vAlign w:val="center"/>
          </w:tcPr>
          <w:p w14:paraId="3DA0877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r>
      <w:tr w14:paraId="2ACEA7A5">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DEDC2B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75" w:type="dxa"/>
            <w:tcBorders>
              <w:top w:val="nil"/>
              <w:left w:val="nil"/>
              <w:bottom w:val="single" w:color="auto" w:sz="4" w:space="0"/>
              <w:right w:val="single" w:color="auto" w:sz="4" w:space="0"/>
            </w:tcBorders>
            <w:shd w:val="clear" w:color="auto" w:fill="auto"/>
            <w:noWrap/>
            <w:vAlign w:val="center"/>
          </w:tcPr>
          <w:p w14:paraId="31B847B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调音台</w:t>
            </w:r>
          </w:p>
        </w:tc>
        <w:tc>
          <w:tcPr>
            <w:tcW w:w="6444" w:type="dxa"/>
            <w:tcBorders>
              <w:top w:val="nil"/>
              <w:left w:val="nil"/>
              <w:bottom w:val="single" w:color="auto" w:sz="4" w:space="0"/>
              <w:right w:val="single" w:color="auto" w:sz="4" w:space="0"/>
            </w:tcBorders>
            <w:shd w:val="clear" w:color="auto" w:fill="auto"/>
            <w:vAlign w:val="center"/>
          </w:tcPr>
          <w:p w14:paraId="4D418D6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1.话筒输入均采用三段式通道均衡器；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2.内置16种数码混响效果，可灵活选择效果器效果；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3.60mm长寿命高分析推子；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4.话筒有的48V幻象供电开关控制；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5.系列提供8路单声道输入，一路辅助，一路返送，两路录音输入输出；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6.内置高音质USB播放器，支持手机蓝牙；</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1.输入灵敏度：麦克风microphone：-60dB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2.立体声通道输入Stereo channel input：-40dB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3.效果发送Echo send：-20dB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4.效果返回Echo back：-20Db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5.输出Output：最大4V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6.信噪比S/N：-80Db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7.均衡Equalization：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8.高频high：±15dB/10KHZ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9.中频Mid：±15dB/250KHZ~6KHZ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10.低频Low：±15dB/60HZ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11.最大输出电平Max output level：20dBm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12.谐波失真T.H.D：≤0.1%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13.信噪比S/N:80Db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14.幻相电压MIC:48V</w:t>
            </w:r>
          </w:p>
        </w:tc>
        <w:tc>
          <w:tcPr>
            <w:tcW w:w="2055" w:type="dxa"/>
            <w:tcBorders>
              <w:top w:val="nil"/>
              <w:left w:val="nil"/>
              <w:bottom w:val="single" w:color="auto" w:sz="4" w:space="0"/>
              <w:right w:val="single" w:color="auto" w:sz="4" w:space="0"/>
            </w:tcBorders>
            <w:shd w:val="clear" w:color="auto" w:fill="auto"/>
            <w:noWrap/>
            <w:vAlign w:val="center"/>
          </w:tcPr>
          <w:p w14:paraId="2F543BC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雷拓</w:t>
            </w:r>
          </w:p>
        </w:tc>
        <w:tc>
          <w:tcPr>
            <w:tcW w:w="1215" w:type="dxa"/>
            <w:tcBorders>
              <w:top w:val="nil"/>
              <w:left w:val="nil"/>
              <w:bottom w:val="single" w:color="auto" w:sz="4" w:space="0"/>
              <w:right w:val="single" w:color="auto" w:sz="4" w:space="0"/>
            </w:tcBorders>
            <w:shd w:val="clear" w:color="auto" w:fill="auto"/>
            <w:noWrap/>
            <w:vAlign w:val="center"/>
          </w:tcPr>
          <w:p w14:paraId="0469A935">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MP0802E</w:t>
            </w:r>
          </w:p>
        </w:tc>
        <w:tc>
          <w:tcPr>
            <w:tcW w:w="1065" w:type="dxa"/>
            <w:tcBorders>
              <w:top w:val="nil"/>
              <w:left w:val="nil"/>
              <w:bottom w:val="single" w:color="auto" w:sz="4" w:space="0"/>
              <w:right w:val="single" w:color="auto" w:sz="4" w:space="0"/>
            </w:tcBorders>
            <w:shd w:val="clear" w:color="auto" w:fill="auto"/>
            <w:noWrap/>
            <w:vAlign w:val="center"/>
          </w:tcPr>
          <w:p w14:paraId="51449F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r>
      <w:tr w14:paraId="3BFDF02E">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2146C36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75" w:type="dxa"/>
            <w:tcBorders>
              <w:top w:val="nil"/>
              <w:left w:val="nil"/>
              <w:bottom w:val="single" w:color="auto" w:sz="4" w:space="0"/>
              <w:right w:val="single" w:color="auto" w:sz="4" w:space="0"/>
            </w:tcBorders>
            <w:shd w:val="clear" w:color="auto" w:fill="auto"/>
            <w:noWrap/>
            <w:vAlign w:val="center"/>
          </w:tcPr>
          <w:p w14:paraId="19DFA3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反馈抑制器</w:t>
            </w:r>
          </w:p>
        </w:tc>
        <w:tc>
          <w:tcPr>
            <w:tcW w:w="6444" w:type="dxa"/>
            <w:tcBorders>
              <w:top w:val="nil"/>
              <w:left w:val="nil"/>
              <w:bottom w:val="single" w:color="auto" w:sz="4" w:space="0"/>
              <w:right w:val="single" w:color="auto" w:sz="4" w:space="0"/>
            </w:tcBorders>
            <w:shd w:val="clear" w:color="auto" w:fill="auto"/>
            <w:vAlign w:val="center"/>
          </w:tcPr>
          <w:p w14:paraId="5F266EA5">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1.48KHz采样频率，32-bitDSP处理器，24-bit A/D及D/A转换；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2.提供2路XLR母卡侬座输入，带独立+48V幻像电源及增益调节旋钮。提供2路XLR公卡侬座输出，1路数字光纤输出；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3.提供USB2.0, USB3.0，RS485以及TCP/IP等接口连接电脑或中控设备，其中RS485接口可最多连接250台设备和超过1500米的距离外用电脑进行控制；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4.可使用面板的功能键和拨轮进行功能设置或是连接电脑通过PC控制软件来控制；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5.单机可储存30组用户组程序数据；其他数据可通过PC软件存储于其他存储介质上。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6.具有1.77寸TFT彩屏显示功能设置界面，使设备操作变得更加直观；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7.每个通道提供最多24个滤波器用于全自动窄带陷波式反馈抑制功能。用户可自由分配通道中动态反馈点或静态反馈点个数，还可以配置每个通道的滤波器的增益，Q值，触发阈值与触发次数；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8.每个通道均有9段独立的全参量均衡，增益范围达-20dB~+15dB，同时还可选择参量，高调，低调3种均衡模式，另各段均衡可进行直通及非直通独立及整体操作；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9.每个通道提供独立的移频，哑音，增益调节，压缩，噪声门，分频设置；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10.设备内每个功能支持单独锁定，可根据现场要求任意开放或者锁定某一单独的功能，防止误操作和数据保密；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11.可自由分配通道中动态反馈点或静态反馈点个数，分频器每个通道可独立配置低通滤波器（LPF）和高通滤波器（HPF）；</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1.输入通道及插座：2路XLR母卡侬座，带独立+48V幻像电源及增益调节旋钮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2.输出：2路XLR公卡侬座，1路数字光纤输出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3.输入阻抗：平衡20KΩ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4.输出阻抗：平衡100Ω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5.PC接口 面板1个USB接口，后板1个RS485接口（凤凰插座），TCP/IP（RJ-45）接口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6.共模抑制比：＞50dB（1KHz）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7.输入范围 ：≤+15dBu</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8.频率响应 ：20Hz ~ 20KHz（±0.5dB）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9.信噪比：≥105dB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10.失真度：＜0.004%@1KHz,0dBu</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11.通道分离度：＞105dB（1KHz）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12.噪声门：可调整参数为：门限值：-120dBu ~ 0dBu, 步距为1dBu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13.可调整参数为：门限值：-60dBu~+15dBu，步距为0.1dBu</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14.压缩比：1.0:1 ~ 20.0:1 , 步距为0.1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15.响应时间：1ms~ 3000ms, 步距为1ms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16.释放时间：50ms~ 5000ms， 步距为1ms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17.可调参数为： 频率转折点：20Hz ~ 20000Hz, 共241个频点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18.处理器：48KHz采样频率，32-bitDSP处理器，24-bit A/D及D/A转换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19.功耗 ：＜20W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20.电源 ：AC 90V~240V  50/60Hz</w:t>
            </w:r>
          </w:p>
        </w:tc>
        <w:tc>
          <w:tcPr>
            <w:tcW w:w="2055" w:type="dxa"/>
            <w:tcBorders>
              <w:top w:val="nil"/>
              <w:left w:val="nil"/>
              <w:bottom w:val="single" w:color="auto" w:sz="4" w:space="0"/>
              <w:right w:val="single" w:color="auto" w:sz="4" w:space="0"/>
            </w:tcBorders>
            <w:shd w:val="clear" w:color="auto" w:fill="auto"/>
            <w:noWrap/>
            <w:vAlign w:val="center"/>
          </w:tcPr>
          <w:p w14:paraId="1D7ECDA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雷拓</w:t>
            </w:r>
          </w:p>
        </w:tc>
        <w:tc>
          <w:tcPr>
            <w:tcW w:w="1215" w:type="dxa"/>
            <w:tcBorders>
              <w:top w:val="nil"/>
              <w:left w:val="nil"/>
              <w:bottom w:val="single" w:color="auto" w:sz="4" w:space="0"/>
              <w:right w:val="single" w:color="auto" w:sz="4" w:space="0"/>
            </w:tcBorders>
            <w:shd w:val="clear" w:color="auto" w:fill="auto"/>
            <w:noWrap/>
            <w:vAlign w:val="center"/>
          </w:tcPr>
          <w:p w14:paraId="3F2791ED">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BS-6302</w:t>
            </w:r>
          </w:p>
        </w:tc>
        <w:tc>
          <w:tcPr>
            <w:tcW w:w="1065" w:type="dxa"/>
            <w:tcBorders>
              <w:top w:val="nil"/>
              <w:left w:val="nil"/>
              <w:bottom w:val="single" w:color="auto" w:sz="4" w:space="0"/>
              <w:right w:val="single" w:color="auto" w:sz="4" w:space="0"/>
            </w:tcBorders>
            <w:shd w:val="clear" w:color="auto" w:fill="auto"/>
            <w:noWrap/>
            <w:vAlign w:val="center"/>
          </w:tcPr>
          <w:p w14:paraId="5DDDCF2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r>
      <w:tr w14:paraId="163B7450">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4F92519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75" w:type="dxa"/>
            <w:tcBorders>
              <w:top w:val="nil"/>
              <w:left w:val="nil"/>
              <w:bottom w:val="single" w:color="auto" w:sz="4" w:space="0"/>
              <w:right w:val="single" w:color="auto" w:sz="4" w:space="0"/>
            </w:tcBorders>
            <w:shd w:val="clear" w:color="auto" w:fill="auto"/>
            <w:noWrap/>
            <w:vAlign w:val="center"/>
          </w:tcPr>
          <w:p w14:paraId="3C662D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无线手持话筒</w:t>
            </w:r>
          </w:p>
        </w:tc>
        <w:tc>
          <w:tcPr>
            <w:tcW w:w="6444" w:type="dxa"/>
            <w:tcBorders>
              <w:top w:val="nil"/>
              <w:left w:val="nil"/>
              <w:bottom w:val="single" w:color="auto" w:sz="4" w:space="0"/>
              <w:right w:val="single" w:color="auto" w:sz="4" w:space="0"/>
            </w:tcBorders>
            <w:shd w:val="clear" w:color="auto" w:fill="auto"/>
            <w:vAlign w:val="center"/>
          </w:tcPr>
          <w:p w14:paraId="7153F29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1.红外麦克风在不同教室之间使用，无需对频，即开即用，简单方便；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2.不受高频驱动光源干扰，可正常工作于阳光下的环境；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3.扩展性能强，支持外部音频输入（Ø 3.5 mm AUDIO IN），与其它音频设备（如MP3、手机等）组合，传输更随意；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4.需具有麦克风音量调节、话筒频点设定及话筒灵敏度设置；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5.当发言者在设定时间内无发言时，自动关闭红外信号发射，达到智能管理电量；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6.为了满足互动教学，需支持开启PTT功能，按住一键开启话筒，松开后话筒即关闭；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7.可实现远程控制PPT翻页及内置激光笔功能；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8.发射角度：垂直0°～90°，水平120°；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9.内置可充电锂电池，持续发言时间≥7小时；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10.具有良好的对灯光的抗干扰性；测量数字红外无线麦克风对节能灯灯光的抗干扰。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11.需支持USB口充电（兼容手机充电器）或插入充电座充电;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12.轻巧美观，多种使用方式灵活选择：可手持、颈挂或领夹；</w:t>
            </w:r>
          </w:p>
        </w:tc>
        <w:tc>
          <w:tcPr>
            <w:tcW w:w="2055" w:type="dxa"/>
            <w:tcBorders>
              <w:top w:val="nil"/>
              <w:left w:val="nil"/>
              <w:bottom w:val="single" w:color="auto" w:sz="4" w:space="0"/>
              <w:right w:val="single" w:color="auto" w:sz="4" w:space="0"/>
            </w:tcBorders>
            <w:shd w:val="clear" w:color="auto" w:fill="auto"/>
            <w:noWrap/>
            <w:vAlign w:val="center"/>
          </w:tcPr>
          <w:p w14:paraId="11D431D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台电</w:t>
            </w:r>
          </w:p>
        </w:tc>
        <w:tc>
          <w:tcPr>
            <w:tcW w:w="1215" w:type="dxa"/>
            <w:tcBorders>
              <w:top w:val="nil"/>
              <w:left w:val="nil"/>
              <w:bottom w:val="single" w:color="auto" w:sz="4" w:space="0"/>
              <w:right w:val="single" w:color="auto" w:sz="4" w:space="0"/>
            </w:tcBorders>
            <w:shd w:val="clear" w:color="auto" w:fill="auto"/>
            <w:noWrap/>
            <w:vAlign w:val="center"/>
          </w:tcPr>
          <w:p w14:paraId="1EC16BEF">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TES-5604N_W</w:t>
            </w:r>
          </w:p>
        </w:tc>
        <w:tc>
          <w:tcPr>
            <w:tcW w:w="1065" w:type="dxa"/>
            <w:tcBorders>
              <w:top w:val="nil"/>
              <w:left w:val="nil"/>
              <w:bottom w:val="single" w:color="auto" w:sz="4" w:space="0"/>
              <w:right w:val="single" w:color="auto" w:sz="4" w:space="0"/>
            </w:tcBorders>
            <w:shd w:val="clear" w:color="auto" w:fill="auto"/>
            <w:noWrap/>
            <w:vAlign w:val="center"/>
          </w:tcPr>
          <w:p w14:paraId="5DA63BC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r>
      <w:tr w14:paraId="4CD61709">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F9D9B6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275" w:type="dxa"/>
            <w:tcBorders>
              <w:top w:val="nil"/>
              <w:left w:val="nil"/>
              <w:bottom w:val="single" w:color="auto" w:sz="4" w:space="0"/>
              <w:right w:val="single" w:color="auto" w:sz="4" w:space="0"/>
            </w:tcBorders>
            <w:shd w:val="clear" w:color="auto" w:fill="auto"/>
            <w:noWrap/>
            <w:vAlign w:val="center"/>
          </w:tcPr>
          <w:p w14:paraId="05B086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无线会议鹅颈麦克风</w:t>
            </w:r>
          </w:p>
        </w:tc>
        <w:tc>
          <w:tcPr>
            <w:tcW w:w="6444" w:type="dxa"/>
            <w:tcBorders>
              <w:top w:val="nil"/>
              <w:left w:val="nil"/>
              <w:bottom w:val="single" w:color="auto" w:sz="4" w:space="0"/>
              <w:right w:val="single" w:color="auto" w:sz="4" w:space="0"/>
            </w:tcBorders>
            <w:shd w:val="clear" w:color="auto" w:fill="auto"/>
            <w:vAlign w:val="center"/>
          </w:tcPr>
          <w:p w14:paraId="0547C7C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功能特点：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1.采用独有的ID码导频技术，彻底解决同频、串频现象；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2.系统采用数字音码锁定技术，有效阻隔使用环境中信号干扰；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3.接收机采用全金属机身，标准1U高度，配置挂耳可安装于标准机柜；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4.接收机采用双通道UHF无线通信，每个通道500个频点可选，可切换频点总数500个；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5.采用彩色TFT显示屏，中英双语显示、调节菜单功能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6.发射器采用LCD显示屏，可实时反馈系统工作状态，可实时反馈系统工作状态，可显示电池电量、信号强度、工作频率；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7.手持麦克风内置陀螺仪，支持智能自由掉落静音与水平静置时静音功能，麦克风静置超过10min，自动进入待机节能状态；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8.采用自动人手感应技术，话筒离开人手静止后3秒内自动静音；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9.自带可调混响和均衡功能，让音色更加清晰、饱满；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10.内设自动扫频功能，频谱显示技术，可轻松选出干净频点；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11.标配：主机*1+桌面鹅颈麦克风*2；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12.单机型建议叠机数量5-6套；</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1.频率范围：640-690MHz(±0.1MHz)；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2.天线带9V供电，可直接连接天线叶子；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3.信噪比95±5dBu@A计权；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4.有效无线传输距离150m（空旷距离）；</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5.预设群组数：20组，每组预设25个频率；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6.动态范围：90dB；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7.失真度：&lt;0.5%；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8.频率响应：30-20KHz/±2dB；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9.信噪比：90dB；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10.接收灵敏度：-95dBm；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11.电源供应：DC12V-18V 1A；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12.音频输出接口3个：1x6.3mm混合输出，2xXLR通道平衡输出；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13.重量：1.6KG；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14.主机尺寸（长*宽*高）：420*209*50mm；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桌面无线话筒：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1.频率切换：红外同步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2.发射功率：20mW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3.调製方式：DQPSK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4.高次谐波：低于主波基准40dB以上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5.使用电池：1.5V AA电池3节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6.连续使用时间：&gt;10小时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7.会议尺寸：156.5x116.3x68.5mm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8.会议重量：793.8g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9.鹅颈咪杆长度：426mm</w:t>
            </w:r>
          </w:p>
        </w:tc>
        <w:tc>
          <w:tcPr>
            <w:tcW w:w="2055" w:type="dxa"/>
            <w:tcBorders>
              <w:top w:val="nil"/>
              <w:left w:val="nil"/>
              <w:bottom w:val="single" w:color="auto" w:sz="4" w:space="0"/>
              <w:right w:val="single" w:color="auto" w:sz="4" w:space="0"/>
            </w:tcBorders>
            <w:shd w:val="clear" w:color="auto" w:fill="auto"/>
            <w:noWrap/>
            <w:vAlign w:val="center"/>
          </w:tcPr>
          <w:p w14:paraId="50105D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雷拓</w:t>
            </w:r>
          </w:p>
        </w:tc>
        <w:tc>
          <w:tcPr>
            <w:tcW w:w="1215" w:type="dxa"/>
            <w:tcBorders>
              <w:top w:val="nil"/>
              <w:left w:val="nil"/>
              <w:bottom w:val="single" w:color="auto" w:sz="4" w:space="0"/>
              <w:right w:val="single" w:color="auto" w:sz="4" w:space="0"/>
            </w:tcBorders>
            <w:shd w:val="clear" w:color="auto" w:fill="auto"/>
            <w:noWrap/>
            <w:vAlign w:val="center"/>
          </w:tcPr>
          <w:p w14:paraId="7E00964C">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UI-M620</w:t>
            </w:r>
          </w:p>
        </w:tc>
        <w:tc>
          <w:tcPr>
            <w:tcW w:w="1065" w:type="dxa"/>
            <w:tcBorders>
              <w:top w:val="nil"/>
              <w:left w:val="nil"/>
              <w:bottom w:val="single" w:color="auto" w:sz="4" w:space="0"/>
              <w:right w:val="single" w:color="auto" w:sz="4" w:space="0"/>
            </w:tcBorders>
            <w:shd w:val="clear" w:color="auto" w:fill="auto"/>
            <w:noWrap/>
            <w:vAlign w:val="center"/>
          </w:tcPr>
          <w:p w14:paraId="26411AA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r>
      <w:tr w14:paraId="0440AC8B">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7E574E3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275" w:type="dxa"/>
            <w:tcBorders>
              <w:top w:val="nil"/>
              <w:left w:val="nil"/>
              <w:bottom w:val="single" w:color="auto" w:sz="4" w:space="0"/>
              <w:right w:val="single" w:color="auto" w:sz="4" w:space="0"/>
            </w:tcBorders>
            <w:shd w:val="clear" w:color="auto" w:fill="auto"/>
            <w:noWrap/>
            <w:vAlign w:val="center"/>
          </w:tcPr>
          <w:p w14:paraId="7A71B25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机柜</w:t>
            </w:r>
          </w:p>
        </w:tc>
        <w:tc>
          <w:tcPr>
            <w:tcW w:w="6444" w:type="dxa"/>
            <w:tcBorders>
              <w:top w:val="nil"/>
              <w:left w:val="nil"/>
              <w:bottom w:val="single" w:color="auto" w:sz="4" w:space="0"/>
              <w:right w:val="single" w:color="auto" w:sz="4" w:space="0"/>
            </w:tcBorders>
            <w:shd w:val="clear" w:color="auto" w:fill="auto"/>
            <w:vAlign w:val="center"/>
          </w:tcPr>
          <w:p w14:paraId="7FED9FF2">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1.结构：优质2mm冷轧板柜体；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2.通风:顶部配有2个轴流风扇；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3.底部进风口表面处理：去油、脱脂、酸洗、磷化、静电喷塑；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4.材质：冷轧板；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5.载重：静态载重能力大于300Kg；</w:t>
            </w:r>
          </w:p>
        </w:tc>
        <w:tc>
          <w:tcPr>
            <w:tcW w:w="2055" w:type="dxa"/>
            <w:tcBorders>
              <w:top w:val="nil"/>
              <w:left w:val="nil"/>
              <w:bottom w:val="single" w:color="auto" w:sz="4" w:space="0"/>
              <w:right w:val="single" w:color="auto" w:sz="4" w:space="0"/>
            </w:tcBorders>
            <w:shd w:val="clear" w:color="auto" w:fill="auto"/>
            <w:noWrap/>
            <w:vAlign w:val="center"/>
          </w:tcPr>
          <w:p w14:paraId="470236B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国标</w:t>
            </w:r>
          </w:p>
        </w:tc>
        <w:tc>
          <w:tcPr>
            <w:tcW w:w="1215" w:type="dxa"/>
            <w:tcBorders>
              <w:top w:val="nil"/>
              <w:left w:val="nil"/>
              <w:bottom w:val="single" w:color="auto" w:sz="4" w:space="0"/>
              <w:right w:val="single" w:color="auto" w:sz="4" w:space="0"/>
            </w:tcBorders>
            <w:shd w:val="clear" w:color="auto" w:fill="auto"/>
            <w:noWrap/>
            <w:vAlign w:val="center"/>
          </w:tcPr>
          <w:p w14:paraId="4EEA8B39">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国标</w:t>
            </w:r>
          </w:p>
        </w:tc>
        <w:tc>
          <w:tcPr>
            <w:tcW w:w="1065" w:type="dxa"/>
            <w:tcBorders>
              <w:top w:val="nil"/>
              <w:left w:val="nil"/>
              <w:bottom w:val="single" w:color="auto" w:sz="4" w:space="0"/>
              <w:right w:val="single" w:color="auto" w:sz="4" w:space="0"/>
            </w:tcBorders>
            <w:shd w:val="clear" w:color="auto" w:fill="auto"/>
            <w:noWrap/>
            <w:vAlign w:val="center"/>
          </w:tcPr>
          <w:p w14:paraId="223B31E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r>
      <w:tr w14:paraId="63049EE2">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0DCA72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275" w:type="dxa"/>
            <w:tcBorders>
              <w:top w:val="nil"/>
              <w:left w:val="nil"/>
              <w:bottom w:val="single" w:color="auto" w:sz="4" w:space="0"/>
              <w:right w:val="single" w:color="auto" w:sz="4" w:space="0"/>
            </w:tcBorders>
            <w:shd w:val="clear" w:color="auto" w:fill="auto"/>
            <w:noWrap/>
            <w:vAlign w:val="center"/>
          </w:tcPr>
          <w:p w14:paraId="27FBFD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电动升降幕布</w:t>
            </w:r>
          </w:p>
        </w:tc>
        <w:tc>
          <w:tcPr>
            <w:tcW w:w="6444" w:type="dxa"/>
            <w:tcBorders>
              <w:top w:val="nil"/>
              <w:left w:val="nil"/>
              <w:bottom w:val="single" w:color="auto" w:sz="4" w:space="0"/>
              <w:right w:val="single" w:color="auto" w:sz="4" w:space="0"/>
            </w:tcBorders>
            <w:shd w:val="clear" w:color="auto" w:fill="auto"/>
            <w:vAlign w:val="center"/>
          </w:tcPr>
          <w:p w14:paraId="655C2ABC">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120寸电动升降幕布，16：9</w:t>
            </w:r>
          </w:p>
        </w:tc>
        <w:tc>
          <w:tcPr>
            <w:tcW w:w="2055" w:type="dxa"/>
            <w:tcBorders>
              <w:top w:val="nil"/>
              <w:left w:val="nil"/>
              <w:bottom w:val="single" w:color="auto" w:sz="4" w:space="0"/>
              <w:right w:val="single" w:color="auto" w:sz="4" w:space="0"/>
            </w:tcBorders>
            <w:shd w:val="clear" w:color="auto" w:fill="auto"/>
            <w:noWrap/>
            <w:vAlign w:val="center"/>
          </w:tcPr>
          <w:p w14:paraId="4ABAC3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红叶</w:t>
            </w:r>
          </w:p>
        </w:tc>
        <w:tc>
          <w:tcPr>
            <w:tcW w:w="1215" w:type="dxa"/>
            <w:tcBorders>
              <w:top w:val="nil"/>
              <w:left w:val="nil"/>
              <w:bottom w:val="single" w:color="auto" w:sz="4" w:space="0"/>
              <w:right w:val="single" w:color="auto" w:sz="4" w:space="0"/>
            </w:tcBorders>
            <w:shd w:val="clear" w:color="auto" w:fill="auto"/>
            <w:noWrap/>
            <w:vAlign w:val="center"/>
          </w:tcPr>
          <w:p w14:paraId="2B9A12A8">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120寸</w:t>
            </w:r>
          </w:p>
        </w:tc>
        <w:tc>
          <w:tcPr>
            <w:tcW w:w="1065" w:type="dxa"/>
            <w:tcBorders>
              <w:top w:val="nil"/>
              <w:left w:val="nil"/>
              <w:bottom w:val="single" w:color="auto" w:sz="4" w:space="0"/>
              <w:right w:val="single" w:color="auto" w:sz="4" w:space="0"/>
            </w:tcBorders>
            <w:shd w:val="clear" w:color="auto" w:fill="auto"/>
            <w:noWrap/>
            <w:vAlign w:val="center"/>
          </w:tcPr>
          <w:p w14:paraId="3403C9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r>
      <w:tr w14:paraId="1FEA17C0">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97F19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275" w:type="dxa"/>
            <w:tcBorders>
              <w:top w:val="nil"/>
              <w:left w:val="nil"/>
              <w:bottom w:val="single" w:color="auto" w:sz="4" w:space="0"/>
              <w:right w:val="single" w:color="auto" w:sz="4" w:space="0"/>
            </w:tcBorders>
            <w:shd w:val="clear" w:color="auto" w:fill="auto"/>
            <w:noWrap/>
            <w:vAlign w:val="center"/>
          </w:tcPr>
          <w:p w14:paraId="0554EE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网络交换机</w:t>
            </w:r>
          </w:p>
        </w:tc>
        <w:tc>
          <w:tcPr>
            <w:tcW w:w="6444" w:type="dxa"/>
            <w:tcBorders>
              <w:top w:val="nil"/>
              <w:left w:val="nil"/>
              <w:bottom w:val="single" w:color="auto" w:sz="4" w:space="0"/>
              <w:right w:val="single" w:color="auto" w:sz="4" w:space="0"/>
            </w:tcBorders>
            <w:shd w:val="clear" w:color="auto" w:fill="auto"/>
            <w:vAlign w:val="center"/>
          </w:tcPr>
          <w:p w14:paraId="2A7FACDF">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24个10/100/1000Base-T电口2个1000Base-X SFP端口交换容量52Gbps，转发率38.7Mpps；整机供电功率370W，单端口最大供电功率30W</w:t>
            </w:r>
          </w:p>
        </w:tc>
        <w:tc>
          <w:tcPr>
            <w:tcW w:w="2055" w:type="dxa"/>
            <w:tcBorders>
              <w:top w:val="nil"/>
              <w:left w:val="nil"/>
              <w:bottom w:val="single" w:color="auto" w:sz="4" w:space="0"/>
              <w:right w:val="single" w:color="auto" w:sz="4" w:space="0"/>
            </w:tcBorders>
            <w:shd w:val="clear" w:color="auto" w:fill="auto"/>
            <w:noWrap/>
            <w:vAlign w:val="center"/>
          </w:tcPr>
          <w:p w14:paraId="35CE68D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主流品牌</w:t>
            </w:r>
          </w:p>
        </w:tc>
        <w:tc>
          <w:tcPr>
            <w:tcW w:w="1215" w:type="dxa"/>
            <w:tcBorders>
              <w:top w:val="nil"/>
              <w:left w:val="nil"/>
              <w:bottom w:val="single" w:color="auto" w:sz="4" w:space="0"/>
              <w:right w:val="single" w:color="auto" w:sz="4" w:space="0"/>
            </w:tcBorders>
            <w:shd w:val="clear" w:color="auto" w:fill="auto"/>
            <w:noWrap/>
            <w:vAlign w:val="center"/>
          </w:tcPr>
          <w:p w14:paraId="34A0FED0">
            <w:pPr>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主流品牌</w:t>
            </w:r>
          </w:p>
        </w:tc>
        <w:tc>
          <w:tcPr>
            <w:tcW w:w="1065" w:type="dxa"/>
            <w:tcBorders>
              <w:top w:val="nil"/>
              <w:left w:val="nil"/>
              <w:bottom w:val="single" w:color="auto" w:sz="4" w:space="0"/>
              <w:right w:val="single" w:color="auto" w:sz="4" w:space="0"/>
            </w:tcBorders>
            <w:shd w:val="clear" w:color="auto" w:fill="auto"/>
            <w:noWrap/>
            <w:vAlign w:val="center"/>
          </w:tcPr>
          <w:p w14:paraId="1644BA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2</w:t>
            </w:r>
          </w:p>
        </w:tc>
      </w:tr>
      <w:tr w14:paraId="04D7207D">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2913E4B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275" w:type="dxa"/>
            <w:tcBorders>
              <w:top w:val="nil"/>
              <w:left w:val="nil"/>
              <w:bottom w:val="single" w:color="auto" w:sz="4" w:space="0"/>
              <w:right w:val="single" w:color="auto" w:sz="4" w:space="0"/>
            </w:tcBorders>
            <w:shd w:val="clear" w:color="auto" w:fill="auto"/>
            <w:noWrap/>
            <w:vAlign w:val="center"/>
          </w:tcPr>
          <w:p w14:paraId="63BA03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监控存储</w:t>
            </w:r>
          </w:p>
        </w:tc>
        <w:tc>
          <w:tcPr>
            <w:tcW w:w="6444" w:type="dxa"/>
            <w:tcBorders>
              <w:top w:val="nil"/>
              <w:left w:val="nil"/>
              <w:bottom w:val="single" w:color="auto" w:sz="4" w:space="0"/>
              <w:right w:val="single" w:color="auto" w:sz="4" w:space="0"/>
            </w:tcBorders>
            <w:shd w:val="clear" w:color="auto" w:fill="auto"/>
            <w:vAlign w:val="center"/>
          </w:tcPr>
          <w:p w14:paraId="038580B7">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支持全新UI4.0界面风格；</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支持嵌入式Linux系统，工业级嵌入式微控制器；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支持WEB、本地GUI界面操作；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支持Smart H.265;H.265;Smart H.264;H.264/MJPEG码流；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支持VGA、HDMI异源输出，HDMI视频输出分辨率最高达4K；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支持1路后智能人脸检测比对； 最大10个人脸库，共20000张人脸图片；2路后智能周界检测；4路后智能SMD；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支持前智能：高空抛物检测、人脸检测比对、周界防范、通用行为分析、立体行为分析、人群分布、人数统计、热度图、SMD功能、物品监控、电瓶车入梯；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可接驳支持ONVIF、RTSP协议的第三方摄像机和主流品牌摄像机；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支持IPv4、IPv6、HTTP、NTP、DNS、ONVIF网络协议；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支持16M/12M/8M/6M/5M/4M/3M/1080P/960P/720PIPC分辨率接入；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支持语音对讲，客户端通过NVR与网络摄像机进行语音对讲；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支持按时间、按事件等多种方式进行录像的检索、回放、备份，支持图片本地回放与查询；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支持标签自定义功能，设备支持对指定时间的录像进行标签并归档，便于后续査看；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支持本机硬盘、网络等存储方式，支持硬盘、外接USB存储设备备份方式；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支持设备操作日志、报警日志、系统日志的记录与查询功能；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支持断网续传功能，能对前端摄像机断网这段时间内SD卡中的录像回传到NVR；</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支持即时回放功能，在预览画面下回放指定通道的录像；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支持预览图像与回放图像的电子放大；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采用大华协议，可以通过鼠标控制云台转动、放大、定位等操作；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支持远程管理IPC功能，支持对前端IPC远程升级，支持远程对IPC的编码配置修改等操作；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支持远程零通道预览功能，可将接入的多路视频图像多画面显示在一路视频图像上；</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支持盘组管理功能，实现视频录像的定向存储；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支持配额管理功能，实现按通道分配不同的录像天数进行存储；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支持走廊模式功能，支持IPC画面旋转90°或270°，成9:16走廊模式；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支持大华云联功能，支持云联APP远程监控，预览，回放；</w:t>
            </w:r>
          </w:p>
        </w:tc>
        <w:tc>
          <w:tcPr>
            <w:tcW w:w="2055" w:type="dxa"/>
            <w:tcBorders>
              <w:top w:val="nil"/>
              <w:left w:val="nil"/>
              <w:bottom w:val="single" w:color="auto" w:sz="4" w:space="0"/>
              <w:right w:val="single" w:color="auto" w:sz="4" w:space="0"/>
            </w:tcBorders>
            <w:shd w:val="clear" w:color="auto" w:fill="auto"/>
            <w:noWrap/>
            <w:vAlign w:val="center"/>
          </w:tcPr>
          <w:p w14:paraId="7D9518B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大华 </w:t>
            </w:r>
          </w:p>
        </w:tc>
        <w:tc>
          <w:tcPr>
            <w:tcW w:w="1215" w:type="dxa"/>
            <w:tcBorders>
              <w:top w:val="nil"/>
              <w:left w:val="nil"/>
              <w:bottom w:val="single" w:color="auto" w:sz="4" w:space="0"/>
              <w:right w:val="single" w:color="auto" w:sz="4" w:space="0"/>
            </w:tcBorders>
            <w:shd w:val="clear" w:color="auto" w:fill="auto"/>
            <w:noWrap/>
            <w:vAlign w:val="center"/>
          </w:tcPr>
          <w:p w14:paraId="7C33B258">
            <w:pPr>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DH-NVR4864</w:t>
            </w:r>
          </w:p>
        </w:tc>
        <w:tc>
          <w:tcPr>
            <w:tcW w:w="1065" w:type="dxa"/>
            <w:tcBorders>
              <w:top w:val="nil"/>
              <w:left w:val="nil"/>
              <w:bottom w:val="single" w:color="auto" w:sz="4" w:space="0"/>
              <w:right w:val="single" w:color="auto" w:sz="4" w:space="0"/>
            </w:tcBorders>
            <w:shd w:val="clear" w:color="auto" w:fill="auto"/>
            <w:noWrap/>
            <w:vAlign w:val="center"/>
          </w:tcPr>
          <w:p w14:paraId="603D84C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1</w:t>
            </w:r>
          </w:p>
        </w:tc>
      </w:tr>
      <w:tr w14:paraId="6A4D1FD3">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18629D4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275" w:type="dxa"/>
            <w:tcBorders>
              <w:top w:val="nil"/>
              <w:left w:val="nil"/>
              <w:bottom w:val="single" w:color="auto" w:sz="4" w:space="0"/>
              <w:right w:val="single" w:color="auto" w:sz="4" w:space="0"/>
            </w:tcBorders>
            <w:shd w:val="clear" w:color="auto" w:fill="auto"/>
            <w:noWrap/>
            <w:vAlign w:val="center"/>
          </w:tcPr>
          <w:p w14:paraId="4E21A3F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存储硬盘</w:t>
            </w:r>
          </w:p>
        </w:tc>
        <w:tc>
          <w:tcPr>
            <w:tcW w:w="6444" w:type="dxa"/>
            <w:tcBorders>
              <w:top w:val="nil"/>
              <w:left w:val="nil"/>
              <w:bottom w:val="single" w:color="auto" w:sz="4" w:space="0"/>
              <w:right w:val="single" w:color="auto" w:sz="4" w:space="0"/>
            </w:tcBorders>
            <w:shd w:val="clear" w:color="auto" w:fill="auto"/>
            <w:vAlign w:val="center"/>
          </w:tcPr>
          <w:p w14:paraId="3A683E42">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8T硬盘</w:t>
            </w:r>
          </w:p>
        </w:tc>
        <w:tc>
          <w:tcPr>
            <w:tcW w:w="2055" w:type="dxa"/>
            <w:tcBorders>
              <w:top w:val="nil"/>
              <w:left w:val="nil"/>
              <w:bottom w:val="single" w:color="auto" w:sz="4" w:space="0"/>
              <w:right w:val="single" w:color="auto" w:sz="4" w:space="0"/>
            </w:tcBorders>
            <w:shd w:val="clear" w:color="auto" w:fill="auto"/>
            <w:noWrap/>
            <w:vAlign w:val="center"/>
          </w:tcPr>
          <w:p w14:paraId="1C1FAF1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西数/希捷</w:t>
            </w:r>
          </w:p>
        </w:tc>
        <w:tc>
          <w:tcPr>
            <w:tcW w:w="1215" w:type="dxa"/>
            <w:tcBorders>
              <w:top w:val="nil"/>
              <w:left w:val="nil"/>
              <w:bottom w:val="single" w:color="auto" w:sz="4" w:space="0"/>
              <w:right w:val="single" w:color="auto" w:sz="4" w:space="0"/>
            </w:tcBorders>
            <w:shd w:val="clear" w:color="auto" w:fill="auto"/>
            <w:noWrap/>
            <w:vAlign w:val="center"/>
          </w:tcPr>
          <w:p w14:paraId="15AB1A66">
            <w:pPr>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8T</w:t>
            </w:r>
          </w:p>
        </w:tc>
        <w:tc>
          <w:tcPr>
            <w:tcW w:w="1065" w:type="dxa"/>
            <w:tcBorders>
              <w:top w:val="nil"/>
              <w:left w:val="nil"/>
              <w:bottom w:val="single" w:color="auto" w:sz="4" w:space="0"/>
              <w:right w:val="single" w:color="auto" w:sz="4" w:space="0"/>
            </w:tcBorders>
            <w:shd w:val="clear" w:color="auto" w:fill="auto"/>
            <w:noWrap/>
            <w:vAlign w:val="center"/>
          </w:tcPr>
          <w:p w14:paraId="3EB6160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2"/>
                <w:szCs w:val="22"/>
                <w:u w:val="none"/>
                <w:lang w:val="en-US" w:eastAsia="zh-CN" w:bidi="ar"/>
              </w:rPr>
              <w:t>4</w:t>
            </w:r>
          </w:p>
        </w:tc>
      </w:tr>
    </w:tbl>
    <w:p w14:paraId="073438EC">
      <w:pPr>
        <w:pStyle w:val="3"/>
      </w:pPr>
      <w:r>
        <w:br w:type="page"/>
      </w:r>
      <w:r>
        <w:rPr>
          <w:rFonts w:hint="eastAsia"/>
          <w:szCs w:val="28"/>
        </w:rPr>
        <w:t xml:space="preserve">供方响应：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pPr>
            <w:r>
              <w:rPr>
                <w:rFonts w:hint="eastAsia"/>
              </w:rPr>
              <w:t>序号</w:t>
            </w:r>
          </w:p>
        </w:tc>
        <w:tc>
          <w:tcPr>
            <w:tcW w:w="1356" w:type="dxa"/>
            <w:vAlign w:val="center"/>
          </w:tcPr>
          <w:p w14:paraId="4782C31B">
            <w:pPr>
              <w:jc w:val="center"/>
            </w:pPr>
            <w:r>
              <w:rPr>
                <w:rFonts w:hint="eastAsia"/>
              </w:rPr>
              <w:t>品名</w:t>
            </w:r>
          </w:p>
        </w:tc>
        <w:tc>
          <w:tcPr>
            <w:tcW w:w="1843" w:type="dxa"/>
            <w:vAlign w:val="center"/>
          </w:tcPr>
          <w:p w14:paraId="7E83C75C">
            <w:pPr>
              <w:jc w:val="center"/>
            </w:pPr>
            <w:r>
              <w:rPr>
                <w:rFonts w:hint="eastAsia"/>
              </w:rPr>
              <w:t>生产厂家</w:t>
            </w:r>
          </w:p>
        </w:tc>
        <w:tc>
          <w:tcPr>
            <w:tcW w:w="1276" w:type="dxa"/>
            <w:vAlign w:val="center"/>
          </w:tcPr>
          <w:p w14:paraId="20840B7C">
            <w:pPr>
              <w:jc w:val="center"/>
            </w:pPr>
            <w:r>
              <w:rPr>
                <w:rFonts w:hint="eastAsia"/>
              </w:rPr>
              <w:t>型号</w:t>
            </w:r>
          </w:p>
        </w:tc>
        <w:tc>
          <w:tcPr>
            <w:tcW w:w="1417" w:type="dxa"/>
            <w:vAlign w:val="center"/>
          </w:tcPr>
          <w:p w14:paraId="04B95FA7">
            <w:pPr>
              <w:jc w:val="center"/>
            </w:pPr>
            <w:r>
              <w:rPr>
                <w:rFonts w:hint="eastAsia"/>
              </w:rPr>
              <w:t>数量</w:t>
            </w:r>
          </w:p>
        </w:tc>
        <w:tc>
          <w:tcPr>
            <w:tcW w:w="1560" w:type="dxa"/>
            <w:shd w:val="clear" w:color="auto" w:fill="auto"/>
            <w:vAlign w:val="center"/>
          </w:tcPr>
          <w:p w14:paraId="569747B5">
            <w:pPr>
              <w:jc w:val="center"/>
            </w:pPr>
            <w:r>
              <w:rPr>
                <w:rFonts w:hint="eastAsia"/>
              </w:rPr>
              <w:t>单价</w:t>
            </w:r>
          </w:p>
        </w:tc>
        <w:tc>
          <w:tcPr>
            <w:tcW w:w="1275" w:type="dxa"/>
            <w:shd w:val="clear" w:color="auto" w:fill="auto"/>
            <w:vAlign w:val="center"/>
          </w:tcPr>
          <w:p w14:paraId="04A6D3E2">
            <w:pPr>
              <w:jc w:val="center"/>
            </w:pPr>
            <w:r>
              <w:rPr>
                <w:rFonts w:hint="eastAsia"/>
              </w:rPr>
              <w:t>合计</w:t>
            </w:r>
          </w:p>
        </w:tc>
        <w:tc>
          <w:tcPr>
            <w:tcW w:w="1701" w:type="dxa"/>
            <w:shd w:val="clear" w:color="auto" w:fill="auto"/>
            <w:vAlign w:val="center"/>
          </w:tcPr>
          <w:p w14:paraId="0F1B3283">
            <w:pPr>
              <w:jc w:val="center"/>
            </w:pPr>
            <w:r>
              <w:rPr>
                <w:rFonts w:hint="eastAsia"/>
              </w:rPr>
              <w:t>到货时间</w:t>
            </w:r>
          </w:p>
        </w:tc>
        <w:tc>
          <w:tcPr>
            <w:tcW w:w="1821" w:type="dxa"/>
            <w:shd w:val="clear" w:color="auto" w:fill="auto"/>
            <w:vAlign w:val="center"/>
          </w:tcPr>
          <w:p w14:paraId="216D81EA">
            <w:pPr>
              <w:jc w:val="center"/>
            </w:pPr>
            <w:r>
              <w:rPr>
                <w:rFonts w:hint="eastAsia"/>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tc>
        <w:tc>
          <w:tcPr>
            <w:tcW w:w="1356" w:type="dxa"/>
            <w:vAlign w:val="center"/>
          </w:tcPr>
          <w:p w14:paraId="0CECE6A4"/>
        </w:tc>
        <w:tc>
          <w:tcPr>
            <w:tcW w:w="1843" w:type="dxa"/>
            <w:vAlign w:val="center"/>
          </w:tcPr>
          <w:p w14:paraId="7758E622"/>
        </w:tc>
        <w:tc>
          <w:tcPr>
            <w:tcW w:w="1276" w:type="dxa"/>
            <w:vAlign w:val="center"/>
          </w:tcPr>
          <w:p w14:paraId="2881AE46"/>
        </w:tc>
        <w:tc>
          <w:tcPr>
            <w:tcW w:w="1417" w:type="dxa"/>
            <w:vAlign w:val="center"/>
          </w:tcPr>
          <w:p w14:paraId="12077A17"/>
        </w:tc>
        <w:tc>
          <w:tcPr>
            <w:tcW w:w="1560" w:type="dxa"/>
            <w:shd w:val="clear" w:color="auto" w:fill="auto"/>
            <w:vAlign w:val="center"/>
          </w:tcPr>
          <w:p w14:paraId="43E382D9"/>
        </w:tc>
        <w:tc>
          <w:tcPr>
            <w:tcW w:w="1275" w:type="dxa"/>
            <w:shd w:val="clear" w:color="auto" w:fill="auto"/>
            <w:vAlign w:val="center"/>
          </w:tcPr>
          <w:p w14:paraId="0A1F850B"/>
        </w:tc>
        <w:tc>
          <w:tcPr>
            <w:tcW w:w="1701" w:type="dxa"/>
            <w:shd w:val="clear" w:color="auto" w:fill="auto"/>
            <w:vAlign w:val="center"/>
          </w:tcPr>
          <w:p w14:paraId="763FB209"/>
        </w:tc>
        <w:tc>
          <w:tcPr>
            <w:tcW w:w="1821" w:type="dxa"/>
            <w:shd w:val="clear" w:color="auto" w:fill="auto"/>
            <w:vAlign w:val="center"/>
          </w:tcPr>
          <w:p w14:paraId="049E0892"/>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r>
              <w:rPr>
                <w:rFonts w:hint="eastAsia"/>
              </w:rPr>
              <w:t>合计</w:t>
            </w:r>
          </w:p>
        </w:tc>
        <w:tc>
          <w:tcPr>
            <w:tcW w:w="10893" w:type="dxa"/>
            <w:gridSpan w:val="7"/>
            <w:vAlign w:val="center"/>
          </w:tcPr>
          <w:p w14:paraId="5E428243">
            <w:r>
              <w:rPr>
                <w:rFonts w:hint="eastAsia"/>
              </w:rPr>
              <w:t xml:space="preserve"> </w:t>
            </w:r>
            <w:r>
              <w:t xml:space="preserve">        </w:t>
            </w:r>
            <w:r>
              <w:rPr>
                <w:rFonts w:hint="eastAsia"/>
              </w:rPr>
              <w:t>人民币：</w:t>
            </w:r>
            <w:r>
              <w:t xml:space="preserve">                </w:t>
            </w:r>
            <w:r>
              <w:rPr>
                <w:rFonts w:hint="eastAsia"/>
              </w:rPr>
              <w:t>元</w:t>
            </w:r>
            <w:r>
              <w:t xml:space="preserve"> </w:t>
            </w:r>
            <w:r>
              <w:rPr>
                <w:rFonts w:hint="eastAsia"/>
              </w:rPr>
              <w:t xml:space="preserve">（大写： </w:t>
            </w:r>
            <w:r>
              <w:t xml:space="preserve">             </w:t>
            </w:r>
            <w:r>
              <w:rPr>
                <w:rFonts w:hint="eastAsia"/>
              </w:rPr>
              <w:t xml:space="preserve">整） </w:t>
            </w:r>
            <w:r>
              <w:t xml:space="preserve">              </w:t>
            </w:r>
          </w:p>
        </w:tc>
      </w:tr>
    </w:tbl>
    <w:p w14:paraId="5C1CBD25"/>
    <w:p w14:paraId="26654CC1">
      <w:r>
        <w:rPr>
          <w:rFonts w:hint="eastAsia"/>
        </w:rPr>
        <w:t>其他说明：</w:t>
      </w:r>
    </w:p>
    <w:p w14:paraId="173E4602">
      <w:r>
        <w:rPr>
          <w:rFonts w:hint="eastAsia"/>
        </w:rPr>
        <w:t xml:space="preserve">                                                               </w:t>
      </w:r>
    </w:p>
    <w:sectPr>
      <w:footerReference r:id="rId3" w:type="default"/>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pPr>
            <w:r>
              <w:rPr>
                <w:lang w:val="zh-CN"/>
              </w:rPr>
              <w:t xml:space="preserve"> </w:t>
            </w:r>
            <w:r>
              <w:rPr>
                <w:sz w:val="24"/>
                <w:szCs w:val="24"/>
              </w:rPr>
              <w:fldChar w:fldCharType="begin"/>
            </w:r>
            <w:r>
              <w:instrText xml:space="preserve">PAGE</w:instrText>
            </w:r>
            <w:r>
              <w:rPr>
                <w:sz w:val="24"/>
                <w:szCs w:val="24"/>
              </w:rPr>
              <w:fldChar w:fldCharType="separate"/>
            </w:r>
            <w:r>
              <w:t>4</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4</w:t>
            </w:r>
            <w:r>
              <w:rPr>
                <w:sz w:val="24"/>
                <w:szCs w:val="24"/>
              </w:rPr>
              <w:fldChar w:fldCharType="end"/>
            </w:r>
          </w:p>
        </w:sdtContent>
      </w:sdt>
    </w:sdtContent>
  </w:sdt>
  <w:p w14:paraId="1B781C47">
    <w:pPr>
      <w:pStyle w:val="5"/>
    </w:pPr>
  </w:p>
  <w:p w14:paraId="6805AE4D"/>
  <w:p w14:paraId="56538EFE"/>
  <w:p w14:paraId="3B2F805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0ED"/>
    <w:rsid w:val="00056DD6"/>
    <w:rsid w:val="00083530"/>
    <w:rsid w:val="000B1DA1"/>
    <w:rsid w:val="000B6EBB"/>
    <w:rsid w:val="000C1566"/>
    <w:rsid w:val="000C6FDC"/>
    <w:rsid w:val="000D2640"/>
    <w:rsid w:val="000D27C1"/>
    <w:rsid w:val="000D56EC"/>
    <w:rsid w:val="000E14A6"/>
    <w:rsid w:val="000E358D"/>
    <w:rsid w:val="00116337"/>
    <w:rsid w:val="00116AF9"/>
    <w:rsid w:val="0013448B"/>
    <w:rsid w:val="001575DA"/>
    <w:rsid w:val="00174F76"/>
    <w:rsid w:val="00195ABB"/>
    <w:rsid w:val="001E34DF"/>
    <w:rsid w:val="002000FB"/>
    <w:rsid w:val="002154B9"/>
    <w:rsid w:val="00236303"/>
    <w:rsid w:val="00250773"/>
    <w:rsid w:val="00272739"/>
    <w:rsid w:val="00284744"/>
    <w:rsid w:val="00292526"/>
    <w:rsid w:val="00296411"/>
    <w:rsid w:val="002B1F44"/>
    <w:rsid w:val="002C0695"/>
    <w:rsid w:val="002D203E"/>
    <w:rsid w:val="002D63B3"/>
    <w:rsid w:val="002E42C8"/>
    <w:rsid w:val="002E694E"/>
    <w:rsid w:val="003139E5"/>
    <w:rsid w:val="00314024"/>
    <w:rsid w:val="00314CA3"/>
    <w:rsid w:val="00333CC5"/>
    <w:rsid w:val="00362D98"/>
    <w:rsid w:val="003945AE"/>
    <w:rsid w:val="003B555F"/>
    <w:rsid w:val="003C503F"/>
    <w:rsid w:val="003C7906"/>
    <w:rsid w:val="003D5317"/>
    <w:rsid w:val="003F7B94"/>
    <w:rsid w:val="00400B04"/>
    <w:rsid w:val="00421B54"/>
    <w:rsid w:val="004256E4"/>
    <w:rsid w:val="00435869"/>
    <w:rsid w:val="004477CE"/>
    <w:rsid w:val="0045012D"/>
    <w:rsid w:val="00460091"/>
    <w:rsid w:val="00473430"/>
    <w:rsid w:val="00490DCE"/>
    <w:rsid w:val="004A17A4"/>
    <w:rsid w:val="004E77DC"/>
    <w:rsid w:val="004F3835"/>
    <w:rsid w:val="0051607F"/>
    <w:rsid w:val="00574480"/>
    <w:rsid w:val="00582EB4"/>
    <w:rsid w:val="005B0802"/>
    <w:rsid w:val="005E27F9"/>
    <w:rsid w:val="005E44B6"/>
    <w:rsid w:val="005E5E1D"/>
    <w:rsid w:val="005F2563"/>
    <w:rsid w:val="005F5573"/>
    <w:rsid w:val="005F6B98"/>
    <w:rsid w:val="00606833"/>
    <w:rsid w:val="00654029"/>
    <w:rsid w:val="00655ADD"/>
    <w:rsid w:val="00666077"/>
    <w:rsid w:val="0068157E"/>
    <w:rsid w:val="006C6F2B"/>
    <w:rsid w:val="006D28A8"/>
    <w:rsid w:val="006D59B2"/>
    <w:rsid w:val="006F3C7A"/>
    <w:rsid w:val="00703812"/>
    <w:rsid w:val="007132D9"/>
    <w:rsid w:val="007324C6"/>
    <w:rsid w:val="0074407F"/>
    <w:rsid w:val="007706B7"/>
    <w:rsid w:val="00774FA8"/>
    <w:rsid w:val="00784227"/>
    <w:rsid w:val="00790158"/>
    <w:rsid w:val="007A72B1"/>
    <w:rsid w:val="007B26EB"/>
    <w:rsid w:val="007E5700"/>
    <w:rsid w:val="00824AF7"/>
    <w:rsid w:val="00845C05"/>
    <w:rsid w:val="00881413"/>
    <w:rsid w:val="008873A5"/>
    <w:rsid w:val="008C2813"/>
    <w:rsid w:val="008C5BEF"/>
    <w:rsid w:val="008C639E"/>
    <w:rsid w:val="008C677F"/>
    <w:rsid w:val="008E2F08"/>
    <w:rsid w:val="009001D6"/>
    <w:rsid w:val="0092119F"/>
    <w:rsid w:val="00924D30"/>
    <w:rsid w:val="009258EF"/>
    <w:rsid w:val="00934C3A"/>
    <w:rsid w:val="00967C72"/>
    <w:rsid w:val="00973F4D"/>
    <w:rsid w:val="009D2650"/>
    <w:rsid w:val="009E1288"/>
    <w:rsid w:val="009F0B9F"/>
    <w:rsid w:val="00A204EF"/>
    <w:rsid w:val="00A26F98"/>
    <w:rsid w:val="00A4617C"/>
    <w:rsid w:val="00A473A6"/>
    <w:rsid w:val="00A64D37"/>
    <w:rsid w:val="00AA0C74"/>
    <w:rsid w:val="00AE746F"/>
    <w:rsid w:val="00B04F33"/>
    <w:rsid w:val="00B30CDB"/>
    <w:rsid w:val="00B43EA1"/>
    <w:rsid w:val="00B57DD4"/>
    <w:rsid w:val="00BB14A2"/>
    <w:rsid w:val="00BE09BF"/>
    <w:rsid w:val="00BE23B9"/>
    <w:rsid w:val="00C13AEE"/>
    <w:rsid w:val="00C26CFA"/>
    <w:rsid w:val="00C33160"/>
    <w:rsid w:val="00C66645"/>
    <w:rsid w:val="00C827B4"/>
    <w:rsid w:val="00CA3C75"/>
    <w:rsid w:val="00CD1167"/>
    <w:rsid w:val="00CE1292"/>
    <w:rsid w:val="00CF0DE6"/>
    <w:rsid w:val="00CF4C02"/>
    <w:rsid w:val="00D27D65"/>
    <w:rsid w:val="00D42F8D"/>
    <w:rsid w:val="00D656A2"/>
    <w:rsid w:val="00D8398E"/>
    <w:rsid w:val="00DB0EE3"/>
    <w:rsid w:val="00DD43DE"/>
    <w:rsid w:val="00DE6E81"/>
    <w:rsid w:val="00DF78C3"/>
    <w:rsid w:val="00E036D3"/>
    <w:rsid w:val="00E03D37"/>
    <w:rsid w:val="00E331B3"/>
    <w:rsid w:val="00E36D9A"/>
    <w:rsid w:val="00E44EBE"/>
    <w:rsid w:val="00E60C49"/>
    <w:rsid w:val="00E62B5A"/>
    <w:rsid w:val="00E93193"/>
    <w:rsid w:val="00E95E4E"/>
    <w:rsid w:val="00E97823"/>
    <w:rsid w:val="00EA15C6"/>
    <w:rsid w:val="00EA20CE"/>
    <w:rsid w:val="00EA7E48"/>
    <w:rsid w:val="00ED5016"/>
    <w:rsid w:val="00EE61BC"/>
    <w:rsid w:val="00F05089"/>
    <w:rsid w:val="00F17A62"/>
    <w:rsid w:val="00F17BA7"/>
    <w:rsid w:val="00F23809"/>
    <w:rsid w:val="00F55F65"/>
    <w:rsid w:val="00F61432"/>
    <w:rsid w:val="00F73ACD"/>
    <w:rsid w:val="00F75B22"/>
    <w:rsid w:val="00F86B7B"/>
    <w:rsid w:val="00FB38A1"/>
    <w:rsid w:val="00FB7F5E"/>
    <w:rsid w:val="00FC3EAB"/>
    <w:rsid w:val="00FE64E6"/>
    <w:rsid w:val="03990047"/>
    <w:rsid w:val="04867AE3"/>
    <w:rsid w:val="0BC8771C"/>
    <w:rsid w:val="0FA855BC"/>
    <w:rsid w:val="11A227FC"/>
    <w:rsid w:val="1B4C1863"/>
    <w:rsid w:val="1C033E58"/>
    <w:rsid w:val="1DCD471E"/>
    <w:rsid w:val="212B632B"/>
    <w:rsid w:val="26732DAD"/>
    <w:rsid w:val="310E0E7D"/>
    <w:rsid w:val="39691347"/>
    <w:rsid w:val="4B0F7C21"/>
    <w:rsid w:val="4CAA5AA7"/>
    <w:rsid w:val="4D7C5F7E"/>
    <w:rsid w:val="5DF433F6"/>
    <w:rsid w:val="5DF50B4C"/>
    <w:rsid w:val="5EDC596C"/>
    <w:rsid w:val="648256E4"/>
    <w:rsid w:val="665B2897"/>
    <w:rsid w:val="6E5378F4"/>
    <w:rsid w:val="74DA0FEA"/>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脚 字符"/>
    <w:basedOn w:val="9"/>
    <w:link w:val="5"/>
    <w:qFormat/>
    <w:uiPriority w:val="99"/>
    <w:rPr>
      <w:sz w:val="18"/>
      <w:szCs w:val="18"/>
    </w:rPr>
  </w:style>
  <w:style w:type="character" w:customStyle="1" w:styleId="12">
    <w:name w:val="页眉 字符"/>
    <w:basedOn w:val="9"/>
    <w:link w:val="6"/>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714</Words>
  <Characters>816</Characters>
  <Lines>9</Lines>
  <Paragraphs>2</Paragraphs>
  <TotalTime>15</TotalTime>
  <ScaleCrop>false</ScaleCrop>
  <LinksUpToDate>false</LinksUpToDate>
  <CharactersWithSpaces>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2024-10-09T05:44:00Z</dcterms:created>
  <dc:creator>freeuser</dc:creator>
  <cp:lastModifiedBy>Lc</cp:lastModifiedBy>
  <cp:lastPrinted>2024-10-09T05:49:00Z</cp:lastPrinted>
  <dcterms:modified xsi:type="dcterms:W3CDTF">2026-01-14T08:31:41Z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7C4941EFD2EA4C07B210136E9C3767E4_13</vt:lpwstr>
  </property>
  <property fmtid="{D5CDD505-2E9C-101B-9397-08002B2CF9AE}" pid="4" name="KSOTemplateDocerSaveRecord">
    <vt:lpwstr>eyJoZGlkIjoiMWQxNGFlZTZjZDRmMDg1OWE5N2NhZTAxZTU4NzcxMjkiLCJ1c2VySWQiOiI5NzQzMDM5MTEifQ==</vt:lpwstr>
  </property>
</Properties>
</file>