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8A9394">
      <w:pPr>
        <w:jc w:val="center"/>
        <w:rPr>
          <w:b/>
          <w:spacing w:val="320"/>
          <w:sz w:val="36"/>
          <w:szCs w:val="36"/>
        </w:rPr>
      </w:pPr>
    </w:p>
    <w:p w14:paraId="5F798484">
      <w:pPr>
        <w:jc w:val="center"/>
        <w:rPr>
          <w:b/>
          <w:spacing w:val="320"/>
          <w:sz w:val="36"/>
          <w:szCs w:val="36"/>
        </w:rPr>
      </w:pPr>
    </w:p>
    <w:p w14:paraId="7F53D734">
      <w:pPr>
        <w:spacing w:line="360" w:lineRule="exact"/>
        <w:ind w:right="960"/>
        <w:rPr>
          <w:rFonts w:hint="eastAsia" w:cs="华文楷体" w:asciiTheme="minorEastAsia" w:hAnsiTheme="minorEastAsia"/>
          <w:bCs/>
          <w:sz w:val="24"/>
        </w:rPr>
      </w:pPr>
      <w:r>
        <w:rPr>
          <w:rFonts w:hint="eastAsia" w:cs="华文楷体" w:asciiTheme="minorEastAsia" w:hAnsiTheme="minorEastAsia"/>
          <w:bCs/>
          <w:sz w:val="24"/>
        </w:rPr>
        <w:t>编号：</w:t>
      </w:r>
    </w:p>
    <w:p w14:paraId="5D4D1E1F">
      <w:pPr>
        <w:spacing w:line="360" w:lineRule="exact"/>
        <w:jc w:val="left"/>
        <w:rPr>
          <w:rFonts w:hint="eastAsia" w:cs="华文楷体" w:asciiTheme="minorEastAsia" w:hAnsiTheme="minorEastAsia"/>
          <w:bCs/>
          <w:sz w:val="24"/>
        </w:rPr>
      </w:pPr>
      <w:r>
        <w:rPr>
          <w:rFonts w:hint="eastAsia" w:cs="华文楷体" w:asciiTheme="minorEastAsia" w:hAnsiTheme="minorEastAsia"/>
          <w:bCs/>
          <w:sz w:val="24"/>
        </w:rPr>
        <w:t>说明</w:t>
      </w:r>
    </w:p>
    <w:p w14:paraId="39262171">
      <w:pPr>
        <w:spacing w:line="360" w:lineRule="exact"/>
        <w:jc w:val="left"/>
        <w:rPr>
          <w:sz w:val="24"/>
        </w:rPr>
      </w:pPr>
      <w:r>
        <w:rPr>
          <w:rFonts w:hint="eastAsia" w:cs="华文楷体" w:asciiTheme="minorEastAsia" w:hAnsiTheme="minorEastAsia"/>
          <w:bCs/>
          <w:sz w:val="24"/>
        </w:rPr>
        <w:t>1.  家具须为</w:t>
      </w:r>
      <w:r>
        <w:rPr>
          <w:rFonts w:hint="eastAsia" w:cs="华文楷体" w:asciiTheme="minorEastAsia" w:hAnsiTheme="minorEastAsia"/>
          <w:b/>
          <w:bCs/>
          <w:sz w:val="24"/>
        </w:rPr>
        <w:t>新品</w:t>
      </w:r>
      <w:r>
        <w:rPr>
          <w:rFonts w:hint="eastAsia" w:cs="华文楷体" w:asciiTheme="minorEastAsia" w:hAnsiTheme="minorEastAsia"/>
          <w:bCs/>
          <w:sz w:val="24"/>
        </w:rPr>
        <w:t>，相关的配套附件质量优良，数量齐全。</w:t>
      </w:r>
    </w:p>
    <w:p w14:paraId="1279A7EA">
      <w:pPr>
        <w:spacing w:line="360" w:lineRule="exact"/>
        <w:jc w:val="left"/>
        <w:rPr>
          <w:sz w:val="24"/>
        </w:rPr>
      </w:pPr>
      <w:r>
        <w:rPr>
          <w:rFonts w:hint="eastAsia"/>
          <w:sz w:val="24"/>
        </w:rPr>
        <w:t>2.</w:t>
      </w:r>
      <w:r>
        <w:rPr>
          <w:rFonts w:hint="eastAsia"/>
          <w:b/>
          <w:sz w:val="24"/>
        </w:rPr>
        <w:t xml:space="preserve">  响应价格</w:t>
      </w:r>
      <w:r>
        <w:rPr>
          <w:rFonts w:hint="eastAsia"/>
          <w:sz w:val="24"/>
        </w:rPr>
        <w:t>，应报家具送到的实际交货地（校内指定地点）的价格，包括运保费、税费、材料费、装卸费、安装费等所有费用。</w:t>
      </w:r>
    </w:p>
    <w:p w14:paraId="2BE5CD9B">
      <w:pPr>
        <w:spacing w:line="360" w:lineRule="exact"/>
        <w:ind w:left="425" w:hanging="424" w:hangingChars="177"/>
        <w:jc w:val="left"/>
        <w:rPr>
          <w:sz w:val="24"/>
        </w:rPr>
      </w:pPr>
      <w:r>
        <w:rPr>
          <w:rFonts w:hint="eastAsia"/>
          <w:sz w:val="24"/>
        </w:rPr>
        <w:t>3.  因家具配置的不完整或质量不合格所带来的无法验收而致使的退货等所有费用由供方负责。</w:t>
      </w:r>
    </w:p>
    <w:p w14:paraId="7E75E84F">
      <w:pPr>
        <w:spacing w:line="360" w:lineRule="exact"/>
        <w:jc w:val="left"/>
        <w:rPr>
          <w:b/>
          <w:sz w:val="28"/>
          <w:szCs w:val="28"/>
        </w:rPr>
      </w:pPr>
      <w:r>
        <w:rPr>
          <w:rFonts w:hint="eastAsia"/>
          <w:sz w:val="24"/>
        </w:rPr>
        <w:t>4.  付款方式</w:t>
      </w:r>
      <w:r>
        <w:rPr>
          <w:rFonts w:hint="eastAsia"/>
          <w:b/>
          <w:sz w:val="28"/>
          <w:szCs w:val="28"/>
        </w:rPr>
        <w:t>：</w:t>
      </w:r>
      <w:r>
        <w:rPr>
          <w:rFonts w:hint="eastAsia"/>
          <w:sz w:val="24"/>
        </w:rPr>
        <w:t>家具</w:t>
      </w:r>
      <w:r>
        <w:rPr>
          <w:sz w:val="24"/>
        </w:rPr>
        <w:t>验收合格后支付合同总额的</w:t>
      </w:r>
      <w:r>
        <w:rPr>
          <w:rFonts w:hint="eastAsia"/>
          <w:b/>
          <w:sz w:val="24"/>
        </w:rPr>
        <w:t>100</w:t>
      </w:r>
      <w:r>
        <w:rPr>
          <w:b/>
          <w:sz w:val="24"/>
        </w:rPr>
        <w:t>%</w:t>
      </w:r>
      <w:r>
        <w:rPr>
          <w:rFonts w:hint="eastAsia"/>
          <w:sz w:val="24"/>
        </w:rPr>
        <w:t>。</w:t>
      </w:r>
    </w:p>
    <w:p w14:paraId="6F46341A">
      <w:pPr>
        <w:spacing w:line="360" w:lineRule="exact"/>
        <w:jc w:val="left"/>
        <w:rPr>
          <w:sz w:val="24"/>
        </w:rPr>
      </w:pPr>
      <w:r>
        <w:rPr>
          <w:rFonts w:hint="eastAsia"/>
          <w:sz w:val="24"/>
        </w:rPr>
        <w:t>5.  质保期：不少于</w:t>
      </w:r>
      <w:r>
        <w:rPr>
          <w:rFonts w:hint="eastAsia"/>
          <w:b/>
          <w:sz w:val="24"/>
        </w:rPr>
        <w:t>3年</w:t>
      </w:r>
      <w:r>
        <w:rPr>
          <w:rFonts w:hint="eastAsia"/>
          <w:sz w:val="24"/>
        </w:rPr>
        <w:t xml:space="preserve">。 </w:t>
      </w:r>
    </w:p>
    <w:p w14:paraId="7A7CAB3E">
      <w:pPr>
        <w:spacing w:line="360" w:lineRule="exact"/>
        <w:jc w:val="left"/>
        <w:rPr>
          <w:b/>
          <w:sz w:val="28"/>
          <w:szCs w:val="28"/>
          <w:highlight w:val="none"/>
        </w:rPr>
      </w:pPr>
      <w:r>
        <w:rPr>
          <w:rFonts w:hint="eastAsia"/>
          <w:sz w:val="24"/>
        </w:rPr>
        <w:t>6</w:t>
      </w:r>
      <w:r>
        <w:rPr>
          <w:sz w:val="24"/>
        </w:rPr>
        <w:t xml:space="preserve">.  </w:t>
      </w:r>
      <w:r>
        <w:rPr>
          <w:rFonts w:hint="eastAsia"/>
          <w:sz w:val="24"/>
        </w:rPr>
        <w:t>响应文件密封后</w:t>
      </w:r>
      <w:r>
        <w:rPr>
          <w:rFonts w:hint="eastAsia"/>
          <w:sz w:val="24"/>
          <w:highlight w:val="none"/>
        </w:rPr>
        <w:t>2026年</w:t>
      </w:r>
      <w:r>
        <w:rPr>
          <w:rFonts w:hint="eastAsia"/>
          <w:sz w:val="24"/>
          <w:highlight w:val="none"/>
          <w:lang w:val="en-US" w:eastAsia="zh-CN"/>
        </w:rPr>
        <w:t>8</w:t>
      </w:r>
      <w:r>
        <w:rPr>
          <w:rFonts w:hint="eastAsia"/>
          <w:sz w:val="24"/>
          <w:highlight w:val="none"/>
        </w:rPr>
        <w:t xml:space="preserve">月 </w:t>
      </w:r>
      <w:r>
        <w:rPr>
          <w:rFonts w:hint="eastAsia"/>
          <w:sz w:val="24"/>
          <w:highlight w:val="none"/>
          <w:lang w:val="en-US" w:eastAsia="zh-CN"/>
        </w:rPr>
        <w:t>7</w:t>
      </w:r>
      <w:r>
        <w:rPr>
          <w:rFonts w:hint="eastAsia"/>
          <w:sz w:val="24"/>
          <w:highlight w:val="none"/>
        </w:rPr>
        <w:t>日</w:t>
      </w:r>
      <w:r>
        <w:rPr>
          <w:rFonts w:hint="eastAsia"/>
          <w:sz w:val="24"/>
          <w:highlight w:val="none"/>
          <w:lang w:val="en-US" w:eastAsia="zh-CN"/>
        </w:rPr>
        <w:t>16</w:t>
      </w:r>
      <w:r>
        <w:rPr>
          <w:rFonts w:hint="eastAsia"/>
          <w:sz w:val="24"/>
          <w:highlight w:val="none"/>
        </w:rPr>
        <w:t>点前送到江苏师范大学静远楼21</w:t>
      </w:r>
      <w:r>
        <w:rPr>
          <w:rFonts w:hint="eastAsia"/>
          <w:sz w:val="24"/>
          <w:highlight w:val="none"/>
          <w:lang w:val="en-US" w:eastAsia="zh-CN"/>
        </w:rPr>
        <w:t>01</w:t>
      </w:r>
      <w:r>
        <w:rPr>
          <w:rFonts w:hint="eastAsia"/>
          <w:sz w:val="24"/>
          <w:highlight w:val="none"/>
        </w:rPr>
        <w:t>室，联系人</w:t>
      </w:r>
      <w:r>
        <w:rPr>
          <w:rFonts w:hint="eastAsia"/>
          <w:sz w:val="24"/>
          <w:highlight w:val="none"/>
          <w:lang w:eastAsia="zh-CN"/>
        </w:rPr>
        <w:t>：</w:t>
      </w:r>
      <w:r>
        <w:rPr>
          <w:rFonts w:hint="eastAsia"/>
          <w:sz w:val="24"/>
          <w:highlight w:val="none"/>
          <w:lang w:val="en-US" w:eastAsia="zh-CN"/>
        </w:rPr>
        <w:t>项老师</w:t>
      </w:r>
      <w:r>
        <w:rPr>
          <w:rFonts w:hint="eastAsia"/>
          <w:sz w:val="24"/>
          <w:highlight w:val="none"/>
        </w:rPr>
        <w:t>，</w:t>
      </w:r>
      <w:r>
        <w:rPr>
          <w:rFonts w:hint="eastAsia"/>
          <w:sz w:val="24"/>
          <w:highlight w:val="none"/>
          <w:lang w:val="en-US" w:eastAsia="zh-CN"/>
        </w:rPr>
        <w:t>电话：13913457449</w:t>
      </w:r>
      <w:r>
        <w:rPr>
          <w:rFonts w:hint="eastAsia"/>
          <w:sz w:val="24"/>
          <w:highlight w:val="none"/>
        </w:rPr>
        <w:t>。</w:t>
      </w:r>
    </w:p>
    <w:p w14:paraId="7D278FDA">
      <w:pPr>
        <w:pStyle w:val="3"/>
        <w:spacing w:before="144"/>
        <w:ind w:left="0"/>
        <w:rPr>
          <w:rFonts w:hint="eastAsia" w:asciiTheme="minorHAnsi" w:hAnsiTheme="minorHAnsi" w:eastAsiaTheme="minorEastAsia" w:cstheme="minorBidi"/>
          <w:kern w:val="2"/>
          <w:szCs w:val="22"/>
          <w:lang w:val="en-US" w:bidi="ar-SA"/>
        </w:rPr>
      </w:pPr>
      <w:r>
        <w:rPr>
          <w:rFonts w:hint="eastAsia" w:asciiTheme="minorHAnsi" w:hAnsiTheme="minorHAnsi" w:eastAsiaTheme="minorEastAsia" w:cstheme="minorBidi"/>
          <w:kern w:val="2"/>
          <w:szCs w:val="22"/>
          <w:lang w:val="en-US" w:bidi="ar-SA"/>
        </w:rPr>
        <w:t>7. 投标时须提供</w:t>
      </w:r>
      <w:r>
        <w:rPr>
          <w:rFonts w:hint="eastAsia" w:asciiTheme="minorHAnsi" w:hAnsiTheme="minorHAnsi" w:eastAsiaTheme="minorEastAsia" w:cstheme="minorBidi"/>
          <w:kern w:val="2"/>
          <w:szCs w:val="22"/>
          <w:lang w:val="en-US" w:eastAsia="zh-CN" w:bidi="ar-SA"/>
        </w:rPr>
        <w:t>一桌四椅（椅子两把 桌子一张）定制转角屏风工位</w:t>
      </w:r>
      <w:r>
        <w:rPr>
          <w:rFonts w:hint="eastAsia" w:asciiTheme="minorHAnsi" w:hAnsiTheme="minorHAnsi" w:eastAsiaTheme="minorEastAsia" w:cstheme="minorBidi"/>
          <w:kern w:val="2"/>
          <w:szCs w:val="22"/>
          <w:lang w:val="en-US" w:bidi="ar-SA"/>
        </w:rPr>
        <w:t>的样品，颜色自定。</w:t>
      </w:r>
    </w:p>
    <w:p w14:paraId="3F3C7DF4">
      <w:pPr>
        <w:pStyle w:val="3"/>
        <w:spacing w:before="144"/>
        <w:ind w:left="0"/>
        <w:rPr>
          <w:rFonts w:hint="eastAsia" w:asciiTheme="minorHAnsi" w:hAnsiTheme="minorHAnsi" w:eastAsiaTheme="minorEastAsia" w:cstheme="minorBidi"/>
          <w:b/>
          <w:bCs/>
          <w:kern w:val="2"/>
          <w:szCs w:val="22"/>
          <w:lang w:val="en-US" w:bidi="ar-SA"/>
        </w:rPr>
      </w:pPr>
      <w:r>
        <w:rPr>
          <w:rFonts w:hint="eastAsia" w:asciiTheme="minorHAnsi" w:hAnsiTheme="minorHAnsi" w:eastAsiaTheme="minorEastAsia" w:cstheme="minorBidi"/>
          <w:b/>
          <w:bCs/>
          <w:kern w:val="2"/>
          <w:szCs w:val="22"/>
          <w:lang w:val="en-US" w:bidi="ar-SA"/>
        </w:rPr>
        <w:t>8. 供货期：合同签订后</w:t>
      </w:r>
      <w:r>
        <w:rPr>
          <w:rFonts w:hint="eastAsia" w:asciiTheme="minorHAnsi" w:hAnsiTheme="minorHAnsi" w:eastAsiaTheme="minorEastAsia" w:cstheme="minorBidi"/>
          <w:b/>
          <w:bCs/>
          <w:kern w:val="2"/>
          <w:szCs w:val="22"/>
          <w:lang w:val="en-US" w:eastAsia="zh-CN" w:bidi="ar-SA"/>
        </w:rPr>
        <w:t>25</w:t>
      </w:r>
      <w:r>
        <w:rPr>
          <w:rFonts w:hint="eastAsia" w:asciiTheme="minorHAnsi" w:hAnsiTheme="minorHAnsi" w:eastAsiaTheme="minorEastAsia" w:cstheme="minorBidi"/>
          <w:b/>
          <w:bCs/>
          <w:kern w:val="2"/>
          <w:szCs w:val="22"/>
          <w:lang w:val="en-US" w:bidi="ar-SA"/>
        </w:rPr>
        <w:t>日历天内，投标时请明确供货期时间。</w:t>
      </w:r>
    </w:p>
    <w:p w14:paraId="029D35CF">
      <w:pPr>
        <w:pStyle w:val="3"/>
        <w:spacing w:before="144"/>
        <w:ind w:left="0"/>
        <w:rPr>
          <w:rFonts w:hint="default" w:asciiTheme="minorHAnsi" w:hAnsiTheme="minorHAnsi" w:eastAsiaTheme="minorEastAsia" w:cstheme="minorBidi"/>
          <w:b/>
          <w:bCs/>
          <w:kern w:val="2"/>
          <w:szCs w:val="22"/>
          <w:lang w:val="en-US" w:eastAsia="zh-CN" w:bidi="ar-SA"/>
        </w:rPr>
      </w:pPr>
      <w:r>
        <w:rPr>
          <w:rFonts w:hint="eastAsia" w:asciiTheme="minorHAnsi" w:hAnsiTheme="minorHAnsi" w:eastAsiaTheme="minorEastAsia" w:cstheme="minorBidi"/>
          <w:b/>
          <w:bCs/>
          <w:kern w:val="2"/>
          <w:szCs w:val="22"/>
          <w:lang w:val="en-US" w:eastAsia="zh-CN" w:bidi="ar-SA"/>
        </w:rPr>
        <w:t xml:space="preserve">9.  </w:t>
      </w:r>
      <w:r>
        <w:rPr>
          <w:rFonts w:hint="eastAsia" w:ascii="Times New Roman" w:hAnsi="Times New Roman" w:cs="Times New Roman" w:eastAsiaTheme="minorEastAsia"/>
          <w:lang w:val="en-US" w:eastAsia="zh-CN"/>
        </w:rPr>
        <w:t>本项目预算总价为7.6万元（人民币）。</w:t>
      </w:r>
      <w:bookmarkStart w:id="0" w:name="_GoBack"/>
      <w:bookmarkEnd w:id="0"/>
    </w:p>
    <w:p w14:paraId="561B5197">
      <w:pPr>
        <w:pStyle w:val="3"/>
        <w:spacing w:before="144"/>
        <w:rPr>
          <w:rFonts w:hint="eastAsia"/>
          <w:b/>
          <w:sz w:val="28"/>
          <w:szCs w:val="28"/>
        </w:rPr>
      </w:pPr>
    </w:p>
    <w:p w14:paraId="5CFB5177">
      <w:pPr>
        <w:pStyle w:val="3"/>
        <w:spacing w:before="144"/>
        <w:rPr>
          <w:rFonts w:hint="eastAsia"/>
          <w:b/>
          <w:sz w:val="28"/>
          <w:szCs w:val="28"/>
        </w:rPr>
      </w:pPr>
    </w:p>
    <w:p w14:paraId="30712104">
      <w:pPr>
        <w:pStyle w:val="3"/>
        <w:spacing w:before="144"/>
        <w:rPr>
          <w:rFonts w:hint="eastAsia"/>
          <w:b/>
          <w:sz w:val="28"/>
          <w:szCs w:val="28"/>
        </w:rPr>
      </w:pPr>
    </w:p>
    <w:p w14:paraId="7F0C67AC">
      <w:pPr>
        <w:pStyle w:val="3"/>
        <w:spacing w:before="144"/>
        <w:rPr>
          <w:b/>
          <w:sz w:val="28"/>
          <w:szCs w:val="28"/>
        </w:rPr>
      </w:pPr>
    </w:p>
    <w:p w14:paraId="38442C84">
      <w:pPr>
        <w:pStyle w:val="3"/>
        <w:spacing w:before="144"/>
        <w:rPr>
          <w:b/>
          <w:sz w:val="28"/>
          <w:szCs w:val="28"/>
        </w:rPr>
      </w:pPr>
    </w:p>
    <w:p w14:paraId="19F22DCB">
      <w:pPr>
        <w:pStyle w:val="3"/>
        <w:spacing w:before="144"/>
        <w:ind w:left="0" w:leftChars="0" w:firstLine="0" w:firstLineChars="0"/>
        <w:rPr>
          <w:rFonts w:hint="eastAsia"/>
          <w:b/>
          <w:sz w:val="28"/>
          <w:szCs w:val="28"/>
        </w:rPr>
      </w:pPr>
      <w:r>
        <w:rPr>
          <w:rFonts w:hint="eastAsia"/>
          <w:b/>
          <w:sz w:val="28"/>
          <w:szCs w:val="28"/>
        </w:rPr>
        <w:t>需方参数需求：</w:t>
      </w:r>
    </w:p>
    <w:tbl>
      <w:tblPr>
        <w:tblStyle w:val="7"/>
        <w:tblW w:w="499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87"/>
        <w:gridCol w:w="1986"/>
        <w:gridCol w:w="1998"/>
        <w:gridCol w:w="6956"/>
        <w:gridCol w:w="589"/>
        <w:gridCol w:w="1264"/>
        <w:gridCol w:w="785"/>
      </w:tblGrid>
      <w:tr w14:paraId="6AEBC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07" w:type="pct"/>
            <w:tcBorders>
              <w:top w:val="single" w:color="000000" w:sz="4" w:space="0"/>
              <w:left w:val="single" w:color="000000" w:sz="4" w:space="0"/>
              <w:bottom w:val="single" w:color="000000" w:sz="4" w:space="0"/>
              <w:right w:val="single" w:color="000000" w:sz="4" w:space="0"/>
            </w:tcBorders>
            <w:shd w:val="clear" w:color="auto" w:fill="FFFF00"/>
            <w:vAlign w:val="center"/>
          </w:tcPr>
          <w:p w14:paraId="677CB2EC">
            <w:pPr>
              <w:keepNext w:val="0"/>
              <w:keepLines w:val="0"/>
              <w:widowControl/>
              <w:suppressLineNumbers w:val="0"/>
              <w:snapToGrid w:val="0"/>
              <w:jc w:val="center"/>
              <w:textAlignment w:val="center"/>
              <w:rPr>
                <w:rFonts w:ascii="微软雅黑" w:hAnsi="微软雅黑" w:eastAsia="微软雅黑" w:cs="微软雅黑"/>
                <w:b/>
                <w:bCs/>
                <w:i w:val="0"/>
                <w:iCs w:val="0"/>
                <w:color w:val="000000"/>
                <w:sz w:val="28"/>
                <w:szCs w:val="28"/>
                <w:u w:val="none"/>
              </w:rPr>
            </w:pPr>
            <w:r>
              <w:rPr>
                <w:rFonts w:hint="eastAsia" w:ascii="微软雅黑" w:hAnsi="微软雅黑" w:eastAsia="微软雅黑" w:cs="微软雅黑"/>
                <w:b/>
                <w:bCs/>
                <w:i w:val="0"/>
                <w:iCs w:val="0"/>
                <w:color w:val="000000"/>
                <w:kern w:val="0"/>
                <w:sz w:val="28"/>
                <w:szCs w:val="28"/>
                <w:u w:val="none"/>
                <w:lang w:val="en-US" w:eastAsia="zh-CN" w:bidi="ar"/>
              </w:rPr>
              <w:t>序号</w:t>
            </w:r>
          </w:p>
        </w:tc>
        <w:tc>
          <w:tcPr>
            <w:tcW w:w="701" w:type="pct"/>
            <w:tcBorders>
              <w:top w:val="single" w:color="000000" w:sz="4" w:space="0"/>
              <w:left w:val="single" w:color="000000" w:sz="4" w:space="0"/>
              <w:bottom w:val="single" w:color="000000" w:sz="4" w:space="0"/>
              <w:right w:val="single" w:color="000000" w:sz="4" w:space="0"/>
            </w:tcBorders>
            <w:shd w:val="clear" w:color="auto" w:fill="FFFF00"/>
            <w:vAlign w:val="center"/>
          </w:tcPr>
          <w:p w14:paraId="150E64FF">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sz w:val="28"/>
                <w:szCs w:val="28"/>
                <w:u w:val="none"/>
              </w:rPr>
            </w:pPr>
            <w:r>
              <w:rPr>
                <w:rFonts w:hint="eastAsia" w:ascii="微软雅黑" w:hAnsi="微软雅黑" w:eastAsia="微软雅黑" w:cs="微软雅黑"/>
                <w:b/>
                <w:bCs/>
                <w:i w:val="0"/>
                <w:iCs w:val="0"/>
                <w:color w:val="000000"/>
                <w:kern w:val="0"/>
                <w:sz w:val="28"/>
                <w:szCs w:val="28"/>
                <w:u w:val="none"/>
                <w:lang w:val="en-US" w:eastAsia="zh-CN" w:bidi="ar"/>
              </w:rPr>
              <w:t>名称</w:t>
            </w:r>
          </w:p>
        </w:tc>
        <w:tc>
          <w:tcPr>
            <w:tcW w:w="705" w:type="pct"/>
            <w:tcBorders>
              <w:top w:val="single" w:color="000000" w:sz="4" w:space="0"/>
              <w:left w:val="single" w:color="000000" w:sz="4" w:space="0"/>
              <w:bottom w:val="single" w:color="000000" w:sz="4" w:space="0"/>
              <w:right w:val="single" w:color="000000" w:sz="4" w:space="0"/>
            </w:tcBorders>
            <w:shd w:val="clear" w:color="auto" w:fill="FFFF00"/>
            <w:vAlign w:val="center"/>
          </w:tcPr>
          <w:p w14:paraId="2FE1E691">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sz w:val="28"/>
                <w:szCs w:val="28"/>
                <w:u w:val="none"/>
              </w:rPr>
            </w:pPr>
            <w:r>
              <w:rPr>
                <w:rFonts w:hint="eastAsia" w:ascii="微软雅黑" w:hAnsi="微软雅黑" w:eastAsia="微软雅黑" w:cs="微软雅黑"/>
                <w:b/>
                <w:bCs/>
                <w:i w:val="0"/>
                <w:iCs w:val="0"/>
                <w:color w:val="000000"/>
                <w:kern w:val="0"/>
                <w:sz w:val="28"/>
                <w:szCs w:val="28"/>
                <w:u w:val="none"/>
                <w:lang w:val="en-US" w:eastAsia="zh-CN" w:bidi="ar"/>
              </w:rPr>
              <w:t>规格（mm）</w:t>
            </w:r>
          </w:p>
        </w:tc>
        <w:tc>
          <w:tcPr>
            <w:tcW w:w="2455" w:type="pct"/>
            <w:tcBorders>
              <w:top w:val="single" w:color="000000" w:sz="4" w:space="0"/>
              <w:left w:val="single" w:color="000000" w:sz="4" w:space="0"/>
              <w:bottom w:val="single" w:color="000000" w:sz="4" w:space="0"/>
              <w:right w:val="single" w:color="000000" w:sz="4" w:space="0"/>
            </w:tcBorders>
            <w:shd w:val="clear" w:color="auto" w:fill="FFFF00"/>
            <w:vAlign w:val="center"/>
          </w:tcPr>
          <w:p w14:paraId="39FACCDE">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sz w:val="28"/>
                <w:szCs w:val="28"/>
                <w:u w:val="none"/>
              </w:rPr>
            </w:pPr>
            <w:r>
              <w:rPr>
                <w:rFonts w:hint="eastAsia" w:ascii="微软雅黑" w:hAnsi="微软雅黑" w:eastAsia="微软雅黑" w:cs="微软雅黑"/>
                <w:b/>
                <w:bCs/>
                <w:i w:val="0"/>
                <w:iCs w:val="0"/>
                <w:color w:val="000000"/>
                <w:kern w:val="0"/>
                <w:sz w:val="28"/>
                <w:szCs w:val="28"/>
                <w:u w:val="none"/>
                <w:lang w:val="en-US" w:eastAsia="zh-CN" w:bidi="ar"/>
              </w:rPr>
              <w:t>材质说明</w:t>
            </w:r>
          </w:p>
        </w:tc>
        <w:tc>
          <w:tcPr>
            <w:tcW w:w="208" w:type="pct"/>
            <w:tcBorders>
              <w:top w:val="single" w:color="000000" w:sz="4" w:space="0"/>
              <w:left w:val="single" w:color="000000" w:sz="4" w:space="0"/>
              <w:bottom w:val="single" w:color="000000" w:sz="4" w:space="0"/>
              <w:right w:val="single" w:color="000000" w:sz="4" w:space="0"/>
            </w:tcBorders>
            <w:shd w:val="clear" w:color="auto" w:fill="FFFF00"/>
            <w:vAlign w:val="center"/>
          </w:tcPr>
          <w:p w14:paraId="082EA866">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sz w:val="28"/>
                <w:szCs w:val="28"/>
                <w:u w:val="none"/>
              </w:rPr>
            </w:pPr>
            <w:r>
              <w:rPr>
                <w:rFonts w:hint="eastAsia" w:ascii="微软雅黑" w:hAnsi="微软雅黑" w:eastAsia="微软雅黑" w:cs="微软雅黑"/>
                <w:b/>
                <w:bCs/>
                <w:i w:val="0"/>
                <w:iCs w:val="0"/>
                <w:color w:val="000000"/>
                <w:kern w:val="0"/>
                <w:sz w:val="28"/>
                <w:szCs w:val="28"/>
                <w:u w:val="none"/>
                <w:lang w:val="en-US" w:eastAsia="zh-CN" w:bidi="ar"/>
              </w:rPr>
              <w:t>数量</w:t>
            </w:r>
          </w:p>
        </w:tc>
        <w:tc>
          <w:tcPr>
            <w:tcW w:w="445" w:type="pct"/>
            <w:tcBorders>
              <w:top w:val="single" w:color="000000" w:sz="4" w:space="0"/>
              <w:left w:val="single" w:color="000000" w:sz="4" w:space="0"/>
              <w:bottom w:val="single" w:color="000000" w:sz="4" w:space="0"/>
              <w:right w:val="nil"/>
            </w:tcBorders>
            <w:shd w:val="clear" w:color="auto" w:fill="FFFF00"/>
            <w:vAlign w:val="center"/>
          </w:tcPr>
          <w:p w14:paraId="2E4EE75D">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sz w:val="28"/>
                <w:szCs w:val="28"/>
                <w:u w:val="none"/>
              </w:rPr>
            </w:pPr>
            <w:r>
              <w:rPr>
                <w:rFonts w:hint="eastAsia" w:ascii="微软雅黑" w:hAnsi="微软雅黑" w:eastAsia="微软雅黑" w:cs="微软雅黑"/>
                <w:b/>
                <w:bCs/>
                <w:i w:val="0"/>
                <w:iCs w:val="0"/>
                <w:color w:val="000000"/>
                <w:kern w:val="0"/>
                <w:sz w:val="28"/>
                <w:szCs w:val="28"/>
                <w:u w:val="none"/>
                <w:lang w:val="en-US" w:eastAsia="zh-CN" w:bidi="ar"/>
              </w:rPr>
              <w:t>单价（元）</w:t>
            </w:r>
          </w:p>
        </w:tc>
        <w:tc>
          <w:tcPr>
            <w:tcW w:w="277" w:type="pct"/>
            <w:tcBorders>
              <w:top w:val="single" w:color="000000" w:sz="4" w:space="0"/>
              <w:left w:val="single" w:color="000000" w:sz="4" w:space="0"/>
              <w:bottom w:val="single" w:color="000000" w:sz="4" w:space="0"/>
              <w:right w:val="single" w:color="000000" w:sz="4" w:space="0"/>
            </w:tcBorders>
            <w:shd w:val="clear" w:color="auto" w:fill="FFFF00"/>
            <w:vAlign w:val="center"/>
          </w:tcPr>
          <w:p w14:paraId="12A55CAD">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sz w:val="28"/>
                <w:szCs w:val="28"/>
                <w:u w:val="none"/>
              </w:rPr>
            </w:pPr>
            <w:r>
              <w:rPr>
                <w:rFonts w:hint="eastAsia" w:ascii="微软雅黑" w:hAnsi="微软雅黑" w:eastAsia="微软雅黑" w:cs="微软雅黑"/>
                <w:b/>
                <w:bCs/>
                <w:i w:val="0"/>
                <w:iCs w:val="0"/>
                <w:color w:val="000000"/>
                <w:kern w:val="0"/>
                <w:sz w:val="28"/>
                <w:szCs w:val="28"/>
                <w:u w:val="none"/>
                <w:lang w:val="en-US" w:eastAsia="zh-CN" w:bidi="ar"/>
              </w:rPr>
              <w:t>总价(元)</w:t>
            </w:r>
          </w:p>
        </w:tc>
      </w:tr>
      <w:tr w14:paraId="72349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22" w:type="pct"/>
            <w:gridSpan w:val="6"/>
            <w:tcBorders>
              <w:top w:val="single" w:color="000000" w:sz="4" w:space="0"/>
              <w:left w:val="single" w:color="000000" w:sz="4" w:space="0"/>
              <w:bottom w:val="single" w:color="000000" w:sz="4" w:space="0"/>
              <w:right w:val="single" w:color="000000" w:sz="4" w:space="0"/>
            </w:tcBorders>
            <w:shd w:val="clear" w:color="auto" w:fill="A8EAE4"/>
            <w:noWrap/>
            <w:vAlign w:val="center"/>
          </w:tcPr>
          <w:p w14:paraId="26FE8DE3">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sz w:val="28"/>
                <w:szCs w:val="28"/>
                <w:u w:val="none"/>
              </w:rPr>
            </w:pPr>
            <w:r>
              <w:rPr>
                <w:rFonts w:hint="eastAsia" w:ascii="微软雅黑" w:hAnsi="微软雅黑" w:eastAsia="微软雅黑" w:cs="微软雅黑"/>
                <w:b/>
                <w:bCs/>
                <w:i w:val="0"/>
                <w:iCs w:val="0"/>
                <w:color w:val="000000"/>
                <w:kern w:val="0"/>
                <w:sz w:val="28"/>
                <w:szCs w:val="28"/>
                <w:u w:val="none"/>
                <w:lang w:val="en-US" w:eastAsia="zh-CN" w:bidi="ar"/>
              </w:rPr>
              <w:t>1.   317办公室</w:t>
            </w:r>
          </w:p>
        </w:tc>
        <w:tc>
          <w:tcPr>
            <w:tcW w:w="277" w:type="pct"/>
            <w:tcBorders>
              <w:top w:val="single" w:color="000000" w:sz="4" w:space="0"/>
              <w:left w:val="single" w:color="000000" w:sz="4" w:space="0"/>
              <w:bottom w:val="single" w:color="000000" w:sz="4" w:space="0"/>
              <w:right w:val="single" w:color="000000" w:sz="4" w:space="0"/>
            </w:tcBorders>
            <w:shd w:val="clear" w:color="auto" w:fill="A8EAE4"/>
            <w:vAlign w:val="center"/>
          </w:tcPr>
          <w:p w14:paraId="52A83EB4">
            <w:pPr>
              <w:snapToGrid w:val="0"/>
              <w:jc w:val="center"/>
              <w:rPr>
                <w:rFonts w:hint="eastAsia" w:ascii="微软雅黑" w:hAnsi="微软雅黑" w:eastAsia="微软雅黑" w:cs="微软雅黑"/>
                <w:i w:val="0"/>
                <w:iCs w:val="0"/>
                <w:color w:val="000000"/>
                <w:sz w:val="22"/>
                <w:szCs w:val="22"/>
                <w:u w:val="none"/>
              </w:rPr>
            </w:pPr>
          </w:p>
        </w:tc>
      </w:tr>
      <w:tr w14:paraId="7EA2E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E4587">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w:t>
            </w:r>
          </w:p>
        </w:tc>
        <w:tc>
          <w:tcPr>
            <w:tcW w:w="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3BB4B">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办公椅</w:t>
            </w:r>
          </w:p>
        </w:tc>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04B37">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黑色网布旋转</w:t>
            </w:r>
          </w:p>
        </w:tc>
        <w:tc>
          <w:tcPr>
            <w:tcW w:w="2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E56E9">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椅面采用进口网络布料,色泽亮丽、阻燃、防污、耐磨性强；座垫采用高密度、高回弹PU定型发泡海绵，密度≥45kg/cm3,软硬适中，回弹性能好，不变形；座垫依据人体工学原理设计，采用1.5MM夹板八层垫压成成型，成型板材约12MM，板材承受力达300KG，采用优质气压棒，升降自如，升降时基本无声响，经测度可承受250KG压力，升降30万次无损；五轮脚架采用33%尼龙架纤维材料一次冲压成型，底部独有的加强筋（肋状设计）保证受力均匀，滑动时无杂音。</w:t>
            </w:r>
          </w:p>
        </w:tc>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D2A5E">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2</w:t>
            </w:r>
          </w:p>
        </w:tc>
        <w:tc>
          <w:tcPr>
            <w:tcW w:w="445" w:type="pct"/>
            <w:tcBorders>
              <w:top w:val="single" w:color="000000" w:sz="4" w:space="0"/>
              <w:left w:val="single" w:color="000000" w:sz="4" w:space="0"/>
              <w:bottom w:val="single" w:color="000000" w:sz="4" w:space="0"/>
              <w:right w:val="nil"/>
            </w:tcBorders>
            <w:shd w:val="clear" w:color="auto" w:fill="auto"/>
            <w:noWrap/>
            <w:vAlign w:val="center"/>
          </w:tcPr>
          <w:p w14:paraId="7AD506BE">
            <w:pPr>
              <w:snapToGrid w:val="0"/>
              <w:jc w:val="center"/>
              <w:rPr>
                <w:rFonts w:hint="eastAsia" w:ascii="微软雅黑" w:hAnsi="微软雅黑" w:eastAsia="微软雅黑" w:cs="微软雅黑"/>
                <w:i w:val="0"/>
                <w:iCs w:val="0"/>
                <w:color w:val="000000"/>
                <w:sz w:val="22"/>
                <w:szCs w:val="22"/>
                <w:u w:val="none"/>
              </w:rPr>
            </w:pP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9E240">
            <w:pPr>
              <w:snapToGrid w:val="0"/>
              <w:jc w:val="center"/>
              <w:rPr>
                <w:rFonts w:hint="eastAsia" w:ascii="微软雅黑" w:hAnsi="微软雅黑" w:eastAsia="微软雅黑" w:cs="微软雅黑"/>
                <w:i w:val="0"/>
                <w:iCs w:val="0"/>
                <w:color w:val="000000"/>
                <w:sz w:val="22"/>
                <w:szCs w:val="22"/>
                <w:u w:val="none"/>
              </w:rPr>
            </w:pPr>
          </w:p>
        </w:tc>
      </w:tr>
      <w:tr w14:paraId="4B807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B66C8">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2</w:t>
            </w:r>
          </w:p>
        </w:tc>
        <w:tc>
          <w:tcPr>
            <w:tcW w:w="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6009C">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中二斗文件柜</w:t>
            </w:r>
          </w:p>
        </w:tc>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747AE">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850*390*1850</w:t>
            </w:r>
          </w:p>
        </w:tc>
        <w:tc>
          <w:tcPr>
            <w:tcW w:w="2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BDB45">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采用上好一级冷扎钢板，耐磨、耐酸等功能，钢板厚度国标0.5mm，喷涂后达到0.6mm，酸洗，磷化，防锈处理，静电喷涂，工艺精湛，无刮痕，包装完好  品牌清晰，环保认证，采用轿车级磷化处理300°C的高温喷涂处理，使用漆洁合力提高，优质五金配件。</w:t>
            </w:r>
          </w:p>
        </w:tc>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B6B97">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2</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AA2D0">
            <w:pPr>
              <w:snapToGrid w:val="0"/>
              <w:jc w:val="center"/>
              <w:rPr>
                <w:rFonts w:hint="eastAsia" w:ascii="微软雅黑" w:hAnsi="微软雅黑" w:eastAsia="微软雅黑" w:cs="微软雅黑"/>
                <w:i w:val="0"/>
                <w:iCs w:val="0"/>
                <w:color w:val="000000"/>
                <w:sz w:val="22"/>
                <w:szCs w:val="22"/>
                <w:u w:val="none"/>
              </w:rPr>
            </w:pP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73DD4">
            <w:pPr>
              <w:snapToGrid w:val="0"/>
              <w:jc w:val="center"/>
              <w:rPr>
                <w:rFonts w:hint="eastAsia" w:ascii="微软雅黑" w:hAnsi="微软雅黑" w:eastAsia="微软雅黑" w:cs="微软雅黑"/>
                <w:i w:val="0"/>
                <w:iCs w:val="0"/>
                <w:color w:val="000000"/>
                <w:sz w:val="22"/>
                <w:szCs w:val="22"/>
                <w:u w:val="none"/>
              </w:rPr>
            </w:pPr>
          </w:p>
        </w:tc>
      </w:tr>
      <w:tr w14:paraId="7EFB8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22" w:type="pct"/>
            <w:gridSpan w:val="6"/>
            <w:tcBorders>
              <w:top w:val="single" w:color="000000" w:sz="4" w:space="0"/>
              <w:left w:val="single" w:color="000000" w:sz="4" w:space="0"/>
              <w:bottom w:val="single" w:color="000000" w:sz="4" w:space="0"/>
              <w:right w:val="nil"/>
            </w:tcBorders>
            <w:shd w:val="clear" w:color="auto" w:fill="A8EAE4"/>
            <w:noWrap/>
            <w:vAlign w:val="center"/>
          </w:tcPr>
          <w:p w14:paraId="62EF471C">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sz w:val="28"/>
                <w:szCs w:val="28"/>
                <w:u w:val="none"/>
              </w:rPr>
            </w:pPr>
            <w:r>
              <w:rPr>
                <w:rFonts w:hint="eastAsia" w:ascii="微软雅黑" w:hAnsi="微软雅黑" w:eastAsia="微软雅黑" w:cs="微软雅黑"/>
                <w:b/>
                <w:bCs/>
                <w:i w:val="0"/>
                <w:iCs w:val="0"/>
                <w:color w:val="000000"/>
                <w:kern w:val="0"/>
                <w:sz w:val="28"/>
                <w:szCs w:val="28"/>
                <w:u w:val="none"/>
                <w:lang w:val="en-US" w:eastAsia="zh-CN" w:bidi="ar"/>
              </w:rPr>
              <w:t>2.     319办公室</w:t>
            </w:r>
          </w:p>
        </w:tc>
        <w:tc>
          <w:tcPr>
            <w:tcW w:w="277" w:type="pct"/>
            <w:tcBorders>
              <w:top w:val="single" w:color="000000" w:sz="4" w:space="0"/>
              <w:left w:val="single" w:color="000000" w:sz="4" w:space="0"/>
              <w:bottom w:val="single" w:color="000000" w:sz="4" w:space="0"/>
              <w:right w:val="single" w:color="000000" w:sz="4" w:space="0"/>
            </w:tcBorders>
            <w:shd w:val="clear" w:color="auto" w:fill="A8EAE4"/>
            <w:vAlign w:val="center"/>
          </w:tcPr>
          <w:p w14:paraId="4A17C2BC">
            <w:pPr>
              <w:snapToGrid w:val="0"/>
              <w:jc w:val="center"/>
              <w:rPr>
                <w:rFonts w:hint="eastAsia" w:ascii="微软雅黑" w:hAnsi="微软雅黑" w:eastAsia="微软雅黑" w:cs="微软雅黑"/>
                <w:i w:val="0"/>
                <w:iCs w:val="0"/>
                <w:color w:val="000000"/>
                <w:sz w:val="22"/>
                <w:szCs w:val="22"/>
                <w:u w:val="none"/>
              </w:rPr>
            </w:pPr>
          </w:p>
        </w:tc>
      </w:tr>
      <w:tr w14:paraId="5B1F2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56A40">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w:t>
            </w:r>
          </w:p>
        </w:tc>
        <w:tc>
          <w:tcPr>
            <w:tcW w:w="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2FE94">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办公椅</w:t>
            </w:r>
          </w:p>
        </w:tc>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3767E">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黑色网布旋转</w:t>
            </w:r>
          </w:p>
        </w:tc>
        <w:tc>
          <w:tcPr>
            <w:tcW w:w="2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68815">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椅面采用进口网络布料,色泽亮丽、阻燃、防污、耐磨性强；座垫采用高密度、高回弹PU定型发泡海绵，密度≥45kg/cm3,软硬适中，回弹性能好，不变形；座垫依据人体工学原理设计，采用1.5MM夹板八层垫压成成型，成型板材约12MM，板材承受力达300KG，采用优质气压棒，升降自如，升降时基本无声响，经测度可承受250KG压力，升降30万次无损；五轮脚架采用33%尼龙架纤维材料一次冲压成型，底部独有的加强筋（肋状设计）保证受力均匀，滑动时无杂音。</w:t>
            </w:r>
          </w:p>
        </w:tc>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14B26">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3</w:t>
            </w:r>
          </w:p>
        </w:tc>
        <w:tc>
          <w:tcPr>
            <w:tcW w:w="445" w:type="pct"/>
            <w:tcBorders>
              <w:top w:val="single" w:color="000000" w:sz="4" w:space="0"/>
              <w:left w:val="single" w:color="000000" w:sz="4" w:space="0"/>
              <w:bottom w:val="single" w:color="000000" w:sz="4" w:space="0"/>
              <w:right w:val="nil"/>
            </w:tcBorders>
            <w:shd w:val="clear" w:color="auto" w:fill="auto"/>
            <w:noWrap/>
            <w:vAlign w:val="center"/>
          </w:tcPr>
          <w:p w14:paraId="1D5272C5">
            <w:pPr>
              <w:snapToGrid w:val="0"/>
              <w:jc w:val="center"/>
              <w:rPr>
                <w:rFonts w:hint="eastAsia" w:ascii="微软雅黑" w:hAnsi="微软雅黑" w:eastAsia="微软雅黑" w:cs="微软雅黑"/>
                <w:i w:val="0"/>
                <w:iCs w:val="0"/>
                <w:color w:val="000000"/>
                <w:sz w:val="22"/>
                <w:szCs w:val="22"/>
                <w:u w:val="none"/>
              </w:rPr>
            </w:pP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2D456">
            <w:pPr>
              <w:snapToGrid w:val="0"/>
              <w:jc w:val="center"/>
              <w:rPr>
                <w:rFonts w:hint="eastAsia" w:ascii="微软雅黑" w:hAnsi="微软雅黑" w:eastAsia="微软雅黑" w:cs="微软雅黑"/>
                <w:i w:val="0"/>
                <w:iCs w:val="0"/>
                <w:color w:val="000000"/>
                <w:sz w:val="22"/>
                <w:szCs w:val="22"/>
                <w:u w:val="none"/>
              </w:rPr>
            </w:pPr>
          </w:p>
        </w:tc>
      </w:tr>
      <w:tr w14:paraId="6634D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37094">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2</w:t>
            </w:r>
          </w:p>
        </w:tc>
        <w:tc>
          <w:tcPr>
            <w:tcW w:w="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BAD77">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中二斗文件柜</w:t>
            </w:r>
          </w:p>
        </w:tc>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6E5B1">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850*390*1850</w:t>
            </w:r>
          </w:p>
        </w:tc>
        <w:tc>
          <w:tcPr>
            <w:tcW w:w="2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BCD0E">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采用上好一级冷扎钢板，耐磨、耐酸等功能，钢板厚度国标0.5mm，喷涂后达到0.6mm，酸洗，磷化，防锈处理，静电喷涂，工艺精湛，无刮痕，包装完好  品牌清晰，环保认证，采用轿车级磷化处理300°C的高温喷涂处理，使用漆洁合力提高，优质五金配件。</w:t>
            </w:r>
          </w:p>
        </w:tc>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A6EC9">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3</w:t>
            </w:r>
          </w:p>
        </w:tc>
        <w:tc>
          <w:tcPr>
            <w:tcW w:w="445" w:type="pct"/>
            <w:tcBorders>
              <w:top w:val="single" w:color="000000" w:sz="4" w:space="0"/>
              <w:left w:val="single" w:color="000000" w:sz="4" w:space="0"/>
              <w:bottom w:val="single" w:color="000000" w:sz="4" w:space="0"/>
              <w:right w:val="nil"/>
            </w:tcBorders>
            <w:shd w:val="clear" w:color="auto" w:fill="auto"/>
            <w:vAlign w:val="center"/>
          </w:tcPr>
          <w:p w14:paraId="447DE4C6">
            <w:pPr>
              <w:snapToGrid w:val="0"/>
              <w:jc w:val="center"/>
              <w:rPr>
                <w:rFonts w:hint="eastAsia" w:ascii="微软雅黑" w:hAnsi="微软雅黑" w:eastAsia="微软雅黑" w:cs="微软雅黑"/>
                <w:i w:val="0"/>
                <w:iCs w:val="0"/>
                <w:color w:val="000000"/>
                <w:sz w:val="20"/>
                <w:szCs w:val="20"/>
                <w:u w:val="none"/>
              </w:rPr>
            </w:pP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11BF4">
            <w:pPr>
              <w:snapToGrid w:val="0"/>
              <w:jc w:val="center"/>
              <w:rPr>
                <w:rFonts w:hint="eastAsia" w:ascii="微软雅黑" w:hAnsi="微软雅黑" w:eastAsia="微软雅黑" w:cs="微软雅黑"/>
                <w:i w:val="0"/>
                <w:iCs w:val="0"/>
                <w:color w:val="000000"/>
                <w:sz w:val="22"/>
                <w:szCs w:val="22"/>
                <w:u w:val="none"/>
              </w:rPr>
            </w:pPr>
          </w:p>
        </w:tc>
      </w:tr>
      <w:tr w14:paraId="56D36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22" w:type="pct"/>
            <w:gridSpan w:val="6"/>
            <w:tcBorders>
              <w:top w:val="single" w:color="000000" w:sz="4" w:space="0"/>
              <w:left w:val="single" w:color="000000" w:sz="4" w:space="0"/>
              <w:bottom w:val="single" w:color="000000" w:sz="4" w:space="0"/>
              <w:right w:val="nil"/>
            </w:tcBorders>
            <w:shd w:val="clear" w:color="auto" w:fill="A8EAE4"/>
            <w:noWrap/>
            <w:vAlign w:val="center"/>
          </w:tcPr>
          <w:p w14:paraId="3081525B">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sz w:val="28"/>
                <w:szCs w:val="28"/>
                <w:u w:val="none"/>
              </w:rPr>
            </w:pPr>
            <w:r>
              <w:rPr>
                <w:rFonts w:hint="eastAsia" w:ascii="微软雅黑" w:hAnsi="微软雅黑" w:eastAsia="微软雅黑" w:cs="微软雅黑"/>
                <w:b/>
                <w:bCs/>
                <w:i w:val="0"/>
                <w:iCs w:val="0"/>
                <w:color w:val="000000"/>
                <w:kern w:val="0"/>
                <w:sz w:val="28"/>
                <w:szCs w:val="28"/>
                <w:u w:val="none"/>
                <w:lang w:val="en-US" w:eastAsia="zh-CN" w:bidi="ar"/>
              </w:rPr>
              <w:t>3.      321办公室</w:t>
            </w:r>
          </w:p>
        </w:tc>
        <w:tc>
          <w:tcPr>
            <w:tcW w:w="277" w:type="pct"/>
            <w:tcBorders>
              <w:top w:val="single" w:color="000000" w:sz="4" w:space="0"/>
              <w:left w:val="single" w:color="000000" w:sz="4" w:space="0"/>
              <w:bottom w:val="single" w:color="000000" w:sz="4" w:space="0"/>
              <w:right w:val="single" w:color="000000" w:sz="4" w:space="0"/>
            </w:tcBorders>
            <w:shd w:val="clear" w:color="auto" w:fill="A8EAE4"/>
            <w:vAlign w:val="center"/>
          </w:tcPr>
          <w:p w14:paraId="0B9D8168">
            <w:pPr>
              <w:snapToGrid w:val="0"/>
              <w:jc w:val="center"/>
              <w:rPr>
                <w:rFonts w:hint="eastAsia" w:ascii="微软雅黑" w:hAnsi="微软雅黑" w:eastAsia="微软雅黑" w:cs="微软雅黑"/>
                <w:i w:val="0"/>
                <w:iCs w:val="0"/>
                <w:color w:val="000000"/>
                <w:sz w:val="22"/>
                <w:szCs w:val="22"/>
                <w:u w:val="none"/>
              </w:rPr>
            </w:pPr>
          </w:p>
        </w:tc>
      </w:tr>
      <w:tr w14:paraId="5DDEC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54DCE">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w:t>
            </w:r>
          </w:p>
        </w:tc>
        <w:tc>
          <w:tcPr>
            <w:tcW w:w="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166A9">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办公桌</w:t>
            </w:r>
          </w:p>
        </w:tc>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7B08A">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1800*1600*750</w:t>
            </w:r>
          </w:p>
        </w:tc>
        <w:tc>
          <w:tcPr>
            <w:tcW w:w="2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0161C">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采用钢木结合：1、饰面：采用优质环保三聚氰胺饰面板，符合GB/T 15102-2017《浸渍胶膜纸饰面纤维板和刨花板》、GB 18580-2017《室内装饰装修材料人造板及其制品中甲醛释放限量》标准，甲醛释放量≤0.019mg/m³；</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2、基材：采用优质环保刨花板，符合GB/T 4897-2015《刨花板》、GB 18580-2017《室内装饰装修材料人造板及其制品中甲醛释放限量》标准，静曲强度≥25.5MPa，弹性模量≥5260MPa，甲醛释放量≤0.018mg/m³；</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3、封边：采用优质环保封边条，符合QB/T 4463-2013《家具用封边条技术要求》、GB 28481-2012《塑料家具中有害物质限量》标准，未检出邻苯二甲酸酯，甲醛释放量≤0.02mg/L；</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4、白乳胶：采用优质环保白乳胶，符合GB 18583-2008《室内装饰装修材料胶粘剂中有害物质限量》标准，总挥发性有机物≤47.2g/L，未检出苯含量，未检出甲苯和二甲苯总和，游离甲醛≤0.07g/kg；</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5、五金件：采用优质五金配件（导轨、拉手、锁具、三合一连接件等），符合QB/T 3827-1999(2009)《轻工产品金属镀层和化学处理层的耐腐蚀试验方法乙酸盐雾试验(ASS)法》QB/T 3832-1999 (2009)《轻工产品金属镀层腐蚀试验结果的评价》标准，五金件150h乙酸盐雾试验,耐蚀等级：10级，整体五金配件紧密拼接，封边细腻，线条均匀，转角过渡自然，间隙细小且均等，经防锈处理，达国家标准。6、金属脚架：由电镀不锈钢钢管压弯而成的金属脚架,钢管150小时乙酸盐雾试验，耐蚀等级达到10级，符合QB/T 3827-1999 (2009)《轻工产品金属镀层和化学处理层的耐腐蚀试验方法乙酸盐雾试验(ASS)法》QB/T 3832-1999 (2009)《轻工产品金属镀层腐蚀试验结果的评价》标准，椅脚底部为塑胶垫，防滑防磨损。</w:t>
            </w:r>
          </w:p>
        </w:tc>
        <w:tc>
          <w:tcPr>
            <w:tcW w:w="2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C6DB6">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A9C58">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1708150</wp:posOffset>
                  </wp:positionH>
                  <wp:positionV relativeFrom="paragraph">
                    <wp:posOffset>306070</wp:posOffset>
                  </wp:positionV>
                  <wp:extent cx="0" cy="677545"/>
                  <wp:effectExtent l="0" t="0" r="0" b="0"/>
                  <wp:wrapNone/>
                  <wp:docPr id="1" name="图片_1"/>
                  <wp:cNvGraphicFramePr/>
                  <a:graphic xmlns:a="http://schemas.openxmlformats.org/drawingml/2006/main">
                    <a:graphicData uri="http://schemas.openxmlformats.org/drawingml/2006/picture">
                      <pic:pic xmlns:pic="http://schemas.openxmlformats.org/drawingml/2006/picture">
                        <pic:nvPicPr>
                          <pic:cNvPr id="1" name="图片_1"/>
                          <pic:cNvPicPr/>
                        </pic:nvPicPr>
                        <pic:blipFill>
                          <a:blip r:embed="rId5"/>
                          <a:stretch>
                            <a:fillRect/>
                          </a:stretch>
                        </pic:blipFill>
                        <pic:spPr>
                          <a:xfrm>
                            <a:off x="0" y="0"/>
                            <a:ext cx="0" cy="677545"/>
                          </a:xfrm>
                          <a:prstGeom prst="rect">
                            <a:avLst/>
                          </a:prstGeom>
                          <a:noFill/>
                          <a:ln>
                            <a:noFill/>
                          </a:ln>
                        </pic:spPr>
                      </pic:pic>
                    </a:graphicData>
                  </a:graphic>
                </wp:anchor>
              </w:drawing>
            </w: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B35DE">
            <w:pPr>
              <w:snapToGrid w:val="0"/>
              <w:jc w:val="center"/>
              <w:rPr>
                <w:rFonts w:hint="eastAsia" w:ascii="微软雅黑" w:hAnsi="微软雅黑" w:eastAsia="微软雅黑" w:cs="微软雅黑"/>
                <w:i w:val="0"/>
                <w:iCs w:val="0"/>
                <w:color w:val="000000"/>
                <w:sz w:val="22"/>
                <w:szCs w:val="22"/>
                <w:u w:val="none"/>
              </w:rPr>
            </w:pPr>
          </w:p>
        </w:tc>
      </w:tr>
      <w:tr w14:paraId="2A61D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15C9B">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2</w:t>
            </w:r>
          </w:p>
        </w:tc>
        <w:tc>
          <w:tcPr>
            <w:tcW w:w="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91D36">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办公椅</w:t>
            </w:r>
          </w:p>
        </w:tc>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B4B21">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黑色网布旋转</w:t>
            </w:r>
          </w:p>
        </w:tc>
        <w:tc>
          <w:tcPr>
            <w:tcW w:w="2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6D645">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椅面采用进口网络布料,色泽亮丽、阻燃、防污、耐磨性强；座垫采用高密度、高回弹PU定型发泡海绵，密度≥45kg/cm3,软硬适中，回弹性能好，不变形；座垫依据人体工学原理设计，采用1.5MM夹板八层垫压成成型，成型板材约12MM，板材承受力达300KG，采用优质气压棒，升降自如，升降时基本无声响，经测度可承受250KG压力，升降30万次无损；五轮脚架采用33%尼龙架纤维材料一次冲压成型，底部独有的加强筋（肋状设计）保证受力均匀，滑动时无杂音。</w:t>
            </w:r>
          </w:p>
        </w:tc>
        <w:tc>
          <w:tcPr>
            <w:tcW w:w="2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BD382">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75224">
            <w:pPr>
              <w:snapToGrid w:val="0"/>
              <w:jc w:val="center"/>
              <w:rPr>
                <w:rFonts w:hint="eastAsia" w:ascii="微软雅黑" w:hAnsi="微软雅黑" w:eastAsia="微软雅黑" w:cs="微软雅黑"/>
                <w:i w:val="0"/>
                <w:iCs w:val="0"/>
                <w:color w:val="000000"/>
                <w:sz w:val="20"/>
                <w:szCs w:val="20"/>
                <w:u w:val="none"/>
              </w:rPr>
            </w:pP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9B0CF">
            <w:pPr>
              <w:snapToGrid w:val="0"/>
              <w:jc w:val="center"/>
              <w:rPr>
                <w:rFonts w:hint="eastAsia" w:ascii="微软雅黑" w:hAnsi="微软雅黑" w:eastAsia="微软雅黑" w:cs="微软雅黑"/>
                <w:i w:val="0"/>
                <w:iCs w:val="0"/>
                <w:color w:val="000000"/>
                <w:sz w:val="22"/>
                <w:szCs w:val="22"/>
                <w:u w:val="none"/>
              </w:rPr>
            </w:pPr>
          </w:p>
        </w:tc>
      </w:tr>
      <w:tr w14:paraId="4B02C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5B1D2">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3</w:t>
            </w:r>
          </w:p>
        </w:tc>
        <w:tc>
          <w:tcPr>
            <w:tcW w:w="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3DAD8">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文件柜</w:t>
            </w:r>
          </w:p>
        </w:tc>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C9F68">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1350*400*2000</w:t>
            </w:r>
          </w:p>
        </w:tc>
        <w:tc>
          <w:tcPr>
            <w:tcW w:w="2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97E10">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1、饰面：采用优质环保三聚氰胺饰面板，符合GB/T 15102-2017《浸渍胶膜纸饰面纤维板和刨花板》、GB 18580-2017《室内装饰装修材料人造板及其制品中甲醛释放限量》标准，甲醛释放量≤0.019mg/m³；</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2、基材：采用优质环保刨花板18mm，符合GB/T 4897-2015《刨花板》GB 18580-2017《室内装饰装修材料人造板及其制品中甲醛释放限量》标准，静曲强度≥25.5MPa，弹性模量≥5260MPa，甲醛释放量≤0.018mg/m³；</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3、封边：采用优质环保封边条，符合QB/T 4463-2013《家具用封边条技术要求》、GB 28481-2012《塑料家具中有害物质限量》标准，未检出邻苯二甲酸酯，甲醛释放量≤0.02mg/L；</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4、白乳胶：采用优质环保白乳胶，符合GB 18583-2008《室内装饰装修材料胶粘剂中有害物质限量》标准，总挥发性有机物≤47.2g/L，未检出苯含量，未检出甲苯和二甲苯总和，游离甲醛≤0.07g/kg；</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5、五金件：采用优质五金配件（导轨、拉手、锁具、门铰、三合一连接件等），符合QB/T 3827-1999(2009)《轻工产品金属镀层和化学处理层的耐腐蚀试验方法乙酸盐雾试验(ASS)法》QB/T 3832-1999 (2009)《轻工产品金属镀层腐蚀试验结果的评价》标准，五金件150h乙酸盐雾试验,耐蚀等级：10级，整体五金配件紧密拼接，封边细腻，线条均匀，转角过渡自然，间隙细小且均等，经防锈处理，达国家标准。</w:t>
            </w:r>
          </w:p>
        </w:tc>
        <w:tc>
          <w:tcPr>
            <w:tcW w:w="2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599C5">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4323F">
            <w:pPr>
              <w:snapToGrid w:val="0"/>
              <w:jc w:val="center"/>
              <w:rPr>
                <w:rFonts w:hint="eastAsia" w:ascii="微软雅黑" w:hAnsi="微软雅黑" w:eastAsia="微软雅黑" w:cs="微软雅黑"/>
                <w:i w:val="0"/>
                <w:iCs w:val="0"/>
                <w:color w:val="000000"/>
                <w:sz w:val="20"/>
                <w:szCs w:val="20"/>
                <w:u w:val="none"/>
              </w:rPr>
            </w:pP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4BCF9">
            <w:pPr>
              <w:snapToGrid w:val="0"/>
              <w:jc w:val="center"/>
              <w:rPr>
                <w:rFonts w:hint="eastAsia" w:ascii="微软雅黑" w:hAnsi="微软雅黑" w:eastAsia="微软雅黑" w:cs="微软雅黑"/>
                <w:i w:val="0"/>
                <w:iCs w:val="0"/>
                <w:color w:val="000000"/>
                <w:sz w:val="22"/>
                <w:szCs w:val="22"/>
                <w:u w:val="none"/>
              </w:rPr>
            </w:pPr>
          </w:p>
        </w:tc>
      </w:tr>
      <w:tr w14:paraId="19D31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F11D7">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4</w:t>
            </w:r>
          </w:p>
        </w:tc>
        <w:tc>
          <w:tcPr>
            <w:tcW w:w="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86D76">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沙发</w:t>
            </w:r>
          </w:p>
        </w:tc>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B2EF6">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3人位：188*80*89</w:t>
            </w:r>
          </w:p>
        </w:tc>
        <w:tc>
          <w:tcPr>
            <w:tcW w:w="2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B2196">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沙发面采用优质环保西皮，厚度：1.5mm，抗张强度：≥10N/mm2，撕裂强度：≥30N/mm2，断裂伸长率：≤80%，颜色摩擦牢度≥4.5/3.5级（干/湿）涂层黏着牢度：≥2.5N/10mm，内部采用品牌阻燃、环保高密度聚亚安脂-树脂（CM成型座棉），密度45kg/m3、回弹力90%、达国家阻燃标准。采用经过消毒、灭茵、烘干处理进口橡木实木结构。外观尺寸公差符合相关行业标准规定。</w:t>
            </w:r>
          </w:p>
        </w:tc>
        <w:tc>
          <w:tcPr>
            <w:tcW w:w="2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0C0B4">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22D6B">
            <w:pPr>
              <w:snapToGrid w:val="0"/>
              <w:jc w:val="center"/>
              <w:rPr>
                <w:rFonts w:hint="eastAsia" w:ascii="微软雅黑" w:hAnsi="微软雅黑" w:eastAsia="微软雅黑" w:cs="微软雅黑"/>
                <w:i w:val="0"/>
                <w:iCs w:val="0"/>
                <w:color w:val="000000"/>
                <w:sz w:val="22"/>
                <w:szCs w:val="22"/>
                <w:u w:val="none"/>
              </w:rPr>
            </w:pP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48D6C">
            <w:pPr>
              <w:snapToGrid w:val="0"/>
              <w:jc w:val="center"/>
              <w:rPr>
                <w:rFonts w:hint="eastAsia" w:ascii="微软雅黑" w:hAnsi="微软雅黑" w:eastAsia="微软雅黑" w:cs="微软雅黑"/>
                <w:i w:val="0"/>
                <w:iCs w:val="0"/>
                <w:color w:val="000000"/>
                <w:sz w:val="22"/>
                <w:szCs w:val="22"/>
                <w:u w:val="none"/>
              </w:rPr>
            </w:pPr>
          </w:p>
        </w:tc>
      </w:tr>
      <w:tr w14:paraId="57EE9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37CD4">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5</w:t>
            </w:r>
          </w:p>
        </w:tc>
        <w:tc>
          <w:tcPr>
            <w:tcW w:w="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701AA">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茶几</w:t>
            </w:r>
          </w:p>
        </w:tc>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D4D01">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600*600*420</w:t>
            </w:r>
          </w:p>
        </w:tc>
        <w:tc>
          <w:tcPr>
            <w:tcW w:w="2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2F8AD">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岩板茶几：规格为直径 600mm、高度 420mm，桌面采用优质岩板材料，厚度不低于 12mm，表面耐磨、耐高温、防渗透、易清洁；岩板边缘圆角打磨，安全无毛刺；底部采用稳固钢架支撑结构，表面做防锈及环保喷涂处理，整体承重良好、不晃动，外观平整美观，符合国家环保及质量标准。</w:t>
            </w:r>
          </w:p>
        </w:tc>
        <w:tc>
          <w:tcPr>
            <w:tcW w:w="2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C57AF">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895F2">
            <w:pPr>
              <w:snapToGrid w:val="0"/>
              <w:jc w:val="center"/>
              <w:rPr>
                <w:rFonts w:hint="eastAsia" w:ascii="微软雅黑" w:hAnsi="微软雅黑" w:eastAsia="微软雅黑" w:cs="微软雅黑"/>
                <w:i w:val="0"/>
                <w:iCs w:val="0"/>
                <w:color w:val="000000"/>
                <w:sz w:val="20"/>
                <w:szCs w:val="20"/>
                <w:u w:val="none"/>
              </w:rPr>
            </w:pP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A596D">
            <w:pPr>
              <w:snapToGrid w:val="0"/>
              <w:jc w:val="center"/>
              <w:rPr>
                <w:rFonts w:hint="eastAsia" w:ascii="微软雅黑" w:hAnsi="微软雅黑" w:eastAsia="微软雅黑" w:cs="微软雅黑"/>
                <w:i w:val="0"/>
                <w:iCs w:val="0"/>
                <w:color w:val="000000"/>
                <w:sz w:val="22"/>
                <w:szCs w:val="22"/>
                <w:u w:val="none"/>
              </w:rPr>
            </w:pPr>
          </w:p>
        </w:tc>
      </w:tr>
      <w:tr w14:paraId="085B1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07"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A4516CE">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6</w:t>
            </w:r>
          </w:p>
        </w:tc>
        <w:tc>
          <w:tcPr>
            <w:tcW w:w="70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7873DC7">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文件柜书柜</w:t>
            </w:r>
          </w:p>
        </w:tc>
        <w:tc>
          <w:tcPr>
            <w:tcW w:w="705"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D11991">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2800*350*2400</w:t>
            </w:r>
          </w:p>
        </w:tc>
        <w:tc>
          <w:tcPr>
            <w:tcW w:w="2455"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793C51">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1、饰面：采用优质环保三聚氰胺饰面板，符合GB/T 15102-2017《浸渍胶膜纸饰面纤维板和刨花板》、GB 18580-2017《室内装饰装修材料人造板及其制品中甲醛释放限量》标准，甲醛释放量≤0.019mg/m³；</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2、基材：采用优质环保刨花板18mm，符合GB/T 4897-2015《刨花板》GB 18580-2017《室内装饰装修材料人造板及其制品中甲醛释放限量》标准，静曲强度≥25.5MPa，弹性模量≥5260MPa，甲醛释放量≤0.018mg/m³；</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3、封边：采用优质环保封边条，符合QB/T 4463-2013《家具用封边条技术要求》、GB 28481-2012《塑料家具中有害物质限量》标准，未检出邻苯二甲酸酯，甲醛释放量≤0.02mg/L；</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4、白乳胶：采用优质环保白乳胶，符合GB 18583-2008《室内装饰装修材料胶粘剂中有害物质限量》标准，总挥发性有机物≤47.2g/L，未检出苯含量，未检出甲苯和二甲苯总和，游离甲醛≤0.07g/kg；</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5、五金件：采用优质五金配件（导轨、拉手、锁具、门铰、三合一连接件等），符合QB/T 3827-1999(2009)《轻工产品金属镀层和化学处理层的耐腐蚀试验方法乙酸盐雾试验(ASS)法》QB/T 3832-1999 (2009)《轻工产品金属镀层腐蚀试验结果的评价》标准，五金件150h乙酸盐雾试验,耐蚀等级：10级，整体五金配件紧密拼接，封边细腻，线条均匀，转角过渡自然，间隙细小且均等，经防锈处理，达国家标准。</w:t>
            </w:r>
          </w:p>
        </w:tc>
        <w:tc>
          <w:tcPr>
            <w:tcW w:w="208"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516966">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445"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7EE368">
            <w:pPr>
              <w:snapToGrid w:val="0"/>
              <w:jc w:val="center"/>
              <w:rPr>
                <w:rFonts w:hint="eastAsia" w:ascii="微软雅黑" w:hAnsi="微软雅黑" w:eastAsia="微软雅黑" w:cs="微软雅黑"/>
                <w:i w:val="0"/>
                <w:iCs w:val="0"/>
                <w:color w:val="000000"/>
                <w:sz w:val="20"/>
                <w:szCs w:val="20"/>
                <w:u w:val="none"/>
              </w:rPr>
            </w:pPr>
          </w:p>
        </w:tc>
        <w:tc>
          <w:tcPr>
            <w:tcW w:w="277"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43A5E0">
            <w:pPr>
              <w:snapToGrid w:val="0"/>
              <w:jc w:val="center"/>
              <w:rPr>
                <w:rFonts w:hint="eastAsia" w:ascii="微软雅黑" w:hAnsi="微软雅黑" w:eastAsia="微软雅黑" w:cs="微软雅黑"/>
                <w:i w:val="0"/>
                <w:iCs w:val="0"/>
                <w:color w:val="000000"/>
                <w:sz w:val="22"/>
                <w:szCs w:val="22"/>
                <w:u w:val="none"/>
              </w:rPr>
            </w:pPr>
          </w:p>
        </w:tc>
      </w:tr>
      <w:tr w14:paraId="3F49B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07"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F75B8A">
            <w:pPr>
              <w:keepNext w:val="0"/>
              <w:keepLines w:val="0"/>
              <w:widowControl/>
              <w:suppressLineNumbers w:val="0"/>
              <w:snapToGrid w:val="0"/>
              <w:jc w:val="center"/>
              <w:textAlignment w:val="center"/>
              <w:rPr>
                <w:rFonts w:hint="default" w:ascii="微软雅黑" w:hAnsi="微软雅黑" w:eastAsia="微软雅黑" w:cs="微软雅黑"/>
                <w:i w:val="0"/>
                <w:iCs w:val="0"/>
                <w:color w:val="000000"/>
                <w:kern w:val="0"/>
                <w:sz w:val="22"/>
                <w:szCs w:val="22"/>
                <w:u w:val="none"/>
                <w:lang w:val="en-US" w:eastAsia="zh-CN" w:bidi="ar"/>
              </w:rPr>
            </w:pPr>
            <w:r>
              <w:rPr>
                <w:rFonts w:hint="eastAsia" w:ascii="微软雅黑" w:hAnsi="微软雅黑" w:eastAsia="微软雅黑" w:cs="微软雅黑"/>
                <w:i w:val="0"/>
                <w:iCs w:val="0"/>
                <w:color w:val="000000"/>
                <w:kern w:val="0"/>
                <w:sz w:val="22"/>
                <w:szCs w:val="22"/>
                <w:u w:val="none"/>
                <w:lang w:val="en-US" w:eastAsia="zh-CN" w:bidi="ar"/>
              </w:rPr>
              <w:t>7</w:t>
            </w:r>
          </w:p>
        </w:tc>
        <w:tc>
          <w:tcPr>
            <w:tcW w:w="198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20F6E88">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会议桌</w:t>
            </w:r>
          </w:p>
        </w:tc>
        <w:tc>
          <w:tcPr>
            <w:tcW w:w="199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C006E6">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2800*1200*750</w:t>
            </w:r>
          </w:p>
        </w:tc>
        <w:tc>
          <w:tcPr>
            <w:tcW w:w="695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69ED47">
            <w:pPr>
              <w:keepNext w:val="0"/>
              <w:keepLines w:val="0"/>
              <w:widowControl/>
              <w:suppressLineNumbers w:val="0"/>
              <w:jc w:val="both"/>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办公桌采用钢木结合：1、饰面：采用优质环保三聚氰胺饰面板，符合GB/T 15102-2017《浸渍胶膜纸饰面纤维板和刨花板》、GB 18580-2017《室内装饰装修材料人造板及其制品中甲醛释放限量》标准，甲醛释放量≤0.019mg/m³；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2、基材：采用优质环保刨花板，符合GB/T 4897-2015《刨花板》、GB 18580-2017《室内装饰装修材料人造板及其制品中甲醛释放限量》标准，静曲强度≥25.5MPa，弹性模量≥5260MPa，甲醛释放量≤0.018mg/m³；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3、封边：采用优质环保封边条，符合QB/T 4463-2013《家具用封边条技术要求》、GB 28481-2012《塑料家具中有害物质限量》标准，未检出邻苯二甲酸酯，甲醛释放量≤0.02mg/L；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4、白乳胶：采用优质环保白乳胶，符合GB 18583-2008《室内装饰装修材料胶粘剂中有害物质限量》标准，总挥发性有机物≤47.2g/L，未检出苯含量，未检出甲苯和二甲苯总和，游离甲醛≤0.07g/kg；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5、五金件：采用优质五金配件（导轨、拉手、锁具、三合一连接件等），符合QB/T 3827-1999(2009)《轻工产品金属镀层和化学处理层的耐腐蚀试验方法乙酸盐雾试验(ASS)法》QB/T 3832-1999 (2009)《轻工产品金属镀层腐蚀试验结果的评价》标准，五金件150h乙酸盐雾试验,耐蚀等级：10级，整体五金配件紧密拼接，封边细腻，线条均匀，转角过渡自然，间隙细小且均等，经防锈处理，达国家标准。6、金属脚架：由电镀不锈钢钢管压弯而成的金属脚架,钢管150小时乙酸盐雾试验，耐蚀等级达到10级，符合QB/T 3827-1999 (2009)《轻工产品金属镀层和化学处理层的耐腐蚀试验方法乙酸盐雾试验(ASS)法》QB/T 3832-1999 (2009)《轻工产品金属镀层腐蚀试验结果的评价》标准，椅脚底部为塑胶垫，防滑防磨损。</w:t>
            </w:r>
          </w:p>
        </w:tc>
        <w:tc>
          <w:tcPr>
            <w:tcW w:w="58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A185B6">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1</w:t>
            </w:r>
          </w:p>
        </w:tc>
        <w:tc>
          <w:tcPr>
            <w:tcW w:w="445"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03BAAC0">
            <w:pPr>
              <w:snapToGrid w:val="0"/>
              <w:jc w:val="center"/>
              <w:rPr>
                <w:rFonts w:hint="eastAsia" w:ascii="微软雅黑" w:hAnsi="微软雅黑" w:eastAsia="微软雅黑" w:cs="微软雅黑"/>
                <w:i w:val="0"/>
                <w:iCs w:val="0"/>
                <w:color w:val="000000"/>
                <w:sz w:val="20"/>
                <w:szCs w:val="20"/>
                <w:u w:val="none"/>
              </w:rPr>
            </w:pPr>
          </w:p>
        </w:tc>
        <w:tc>
          <w:tcPr>
            <w:tcW w:w="277"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B86E9A">
            <w:pPr>
              <w:snapToGrid w:val="0"/>
              <w:jc w:val="center"/>
              <w:rPr>
                <w:rFonts w:hint="eastAsia" w:ascii="微软雅黑" w:hAnsi="微软雅黑" w:eastAsia="微软雅黑" w:cs="微软雅黑"/>
                <w:i w:val="0"/>
                <w:iCs w:val="0"/>
                <w:color w:val="000000"/>
                <w:sz w:val="22"/>
                <w:szCs w:val="22"/>
                <w:u w:val="none"/>
              </w:rPr>
            </w:pPr>
          </w:p>
        </w:tc>
      </w:tr>
      <w:tr w14:paraId="43726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07"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85E44C">
            <w:pPr>
              <w:keepNext w:val="0"/>
              <w:keepLines w:val="0"/>
              <w:widowControl/>
              <w:suppressLineNumbers w:val="0"/>
              <w:snapToGrid w:val="0"/>
              <w:jc w:val="center"/>
              <w:textAlignment w:val="center"/>
              <w:rPr>
                <w:rFonts w:hint="default" w:ascii="微软雅黑" w:hAnsi="微软雅黑" w:eastAsia="微软雅黑" w:cs="微软雅黑"/>
                <w:i w:val="0"/>
                <w:iCs w:val="0"/>
                <w:color w:val="000000"/>
                <w:kern w:val="0"/>
                <w:sz w:val="22"/>
                <w:szCs w:val="22"/>
                <w:u w:val="none"/>
                <w:lang w:val="en-US" w:eastAsia="zh-CN" w:bidi="ar"/>
              </w:rPr>
            </w:pPr>
            <w:r>
              <w:rPr>
                <w:rFonts w:hint="eastAsia" w:ascii="微软雅黑" w:hAnsi="微软雅黑" w:eastAsia="微软雅黑" w:cs="微软雅黑"/>
                <w:i w:val="0"/>
                <w:iCs w:val="0"/>
                <w:color w:val="000000"/>
                <w:kern w:val="0"/>
                <w:sz w:val="22"/>
                <w:szCs w:val="22"/>
                <w:u w:val="none"/>
                <w:lang w:val="en-US" w:eastAsia="zh-CN" w:bidi="ar"/>
              </w:rPr>
              <w:t>8</w:t>
            </w:r>
          </w:p>
        </w:tc>
        <w:tc>
          <w:tcPr>
            <w:tcW w:w="198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DA2CA9D">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2"/>
                <w:szCs w:val="22"/>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会议椅</w:t>
            </w:r>
          </w:p>
        </w:tc>
        <w:tc>
          <w:tcPr>
            <w:tcW w:w="199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93C028">
            <w:pPr>
              <w:jc w:val="center"/>
              <w:rPr>
                <w:rFonts w:hint="eastAsia" w:ascii="微软雅黑" w:hAnsi="微软雅黑" w:eastAsia="微软雅黑" w:cs="微软雅黑"/>
                <w:i w:val="0"/>
                <w:iCs w:val="0"/>
                <w:color w:val="000000"/>
                <w:kern w:val="0"/>
                <w:sz w:val="20"/>
                <w:szCs w:val="20"/>
                <w:u w:val="none"/>
                <w:lang w:val="en-US" w:eastAsia="zh-CN" w:bidi="ar"/>
              </w:rPr>
            </w:pPr>
          </w:p>
        </w:tc>
        <w:tc>
          <w:tcPr>
            <w:tcW w:w="695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384DD0">
            <w:pPr>
              <w:keepNext w:val="0"/>
              <w:keepLines w:val="0"/>
              <w:widowControl/>
              <w:suppressLineNumbers w:val="0"/>
              <w:jc w:val="both"/>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椅面采用进口网络布料,色泽亮丽、阻燃、防污、耐磨性强；座垫采用高密度、高回弹PU定型发泡海绵，密度≥45kg/cm3,软硬适中，回弹性能好，不变形；座垫依据人体工学原理设计，采用1.5MM夹板八层垫压成成型，成型板材约12MM，椅架采用优质电镀不锈钢管折弯而成。</w:t>
            </w:r>
          </w:p>
        </w:tc>
        <w:tc>
          <w:tcPr>
            <w:tcW w:w="589"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8BF1A6">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10</w:t>
            </w:r>
          </w:p>
        </w:tc>
        <w:tc>
          <w:tcPr>
            <w:tcW w:w="445"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C6EBD4">
            <w:pPr>
              <w:snapToGrid w:val="0"/>
              <w:jc w:val="center"/>
              <w:rPr>
                <w:rFonts w:hint="eastAsia" w:ascii="微软雅黑" w:hAnsi="微软雅黑" w:eastAsia="微软雅黑" w:cs="微软雅黑"/>
                <w:i w:val="0"/>
                <w:iCs w:val="0"/>
                <w:color w:val="000000"/>
                <w:sz w:val="20"/>
                <w:szCs w:val="20"/>
                <w:u w:val="none"/>
              </w:rPr>
            </w:pPr>
          </w:p>
        </w:tc>
        <w:tc>
          <w:tcPr>
            <w:tcW w:w="277"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31E8A5">
            <w:pPr>
              <w:snapToGrid w:val="0"/>
              <w:jc w:val="center"/>
              <w:rPr>
                <w:rFonts w:hint="eastAsia" w:ascii="微软雅黑" w:hAnsi="微软雅黑" w:eastAsia="微软雅黑" w:cs="微软雅黑"/>
                <w:i w:val="0"/>
                <w:iCs w:val="0"/>
                <w:color w:val="000000"/>
                <w:sz w:val="22"/>
                <w:szCs w:val="22"/>
                <w:u w:val="none"/>
              </w:rPr>
            </w:pPr>
          </w:p>
        </w:tc>
      </w:tr>
      <w:tr w14:paraId="0DB2A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22" w:type="pct"/>
            <w:gridSpan w:val="6"/>
            <w:tcBorders>
              <w:top w:val="single" w:color="000000" w:sz="4" w:space="0"/>
              <w:left w:val="single" w:color="000000" w:sz="4" w:space="0"/>
              <w:bottom w:val="single" w:color="000000" w:sz="4" w:space="0"/>
              <w:right w:val="nil"/>
            </w:tcBorders>
            <w:shd w:val="clear" w:color="auto" w:fill="FFFFFF" w:themeFill="background1"/>
            <w:noWrap/>
            <w:vAlign w:val="center"/>
          </w:tcPr>
          <w:p w14:paraId="26AB75AD">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sz w:val="28"/>
                <w:szCs w:val="28"/>
                <w:u w:val="none"/>
              </w:rPr>
            </w:pPr>
            <w:r>
              <w:rPr>
                <w:rFonts w:hint="eastAsia" w:ascii="微软雅黑" w:hAnsi="微软雅黑" w:eastAsia="微软雅黑" w:cs="微软雅黑"/>
                <w:b/>
                <w:bCs/>
                <w:i w:val="0"/>
                <w:iCs w:val="0"/>
                <w:color w:val="000000"/>
                <w:kern w:val="0"/>
                <w:sz w:val="28"/>
                <w:szCs w:val="28"/>
                <w:u w:val="none"/>
                <w:lang w:val="en-US" w:eastAsia="zh-CN" w:bidi="ar"/>
              </w:rPr>
              <w:t>4.     323 办公室</w:t>
            </w:r>
          </w:p>
        </w:tc>
        <w:tc>
          <w:tcPr>
            <w:tcW w:w="277"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57D1C53">
            <w:pPr>
              <w:snapToGrid w:val="0"/>
              <w:jc w:val="center"/>
              <w:rPr>
                <w:rFonts w:hint="eastAsia" w:ascii="微软雅黑" w:hAnsi="微软雅黑" w:eastAsia="微软雅黑" w:cs="微软雅黑"/>
                <w:i w:val="0"/>
                <w:iCs w:val="0"/>
                <w:color w:val="000000"/>
                <w:sz w:val="22"/>
                <w:szCs w:val="22"/>
                <w:u w:val="none"/>
              </w:rPr>
            </w:pPr>
          </w:p>
        </w:tc>
      </w:tr>
      <w:tr w14:paraId="0A82E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07"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3D3A33">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w:t>
            </w:r>
          </w:p>
        </w:tc>
        <w:tc>
          <w:tcPr>
            <w:tcW w:w="70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AA5B84C">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文件柜书柜</w:t>
            </w:r>
          </w:p>
        </w:tc>
        <w:tc>
          <w:tcPr>
            <w:tcW w:w="705" w:type="pct"/>
            <w:tcBorders>
              <w:top w:val="single" w:color="000000" w:sz="4" w:space="0"/>
              <w:left w:val="single" w:color="000000" w:sz="4" w:space="0"/>
              <w:bottom w:val="single" w:color="000000" w:sz="4" w:space="0"/>
              <w:right w:val="nil"/>
            </w:tcBorders>
            <w:shd w:val="clear" w:color="auto" w:fill="FFFFFF" w:themeFill="background1"/>
            <w:noWrap/>
            <w:vAlign w:val="center"/>
          </w:tcPr>
          <w:p w14:paraId="35E51E86">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2500*400*2400</w:t>
            </w:r>
          </w:p>
        </w:tc>
        <w:tc>
          <w:tcPr>
            <w:tcW w:w="2455" w:type="pct"/>
            <w:tcBorders>
              <w:top w:val="single" w:color="000000" w:sz="4" w:space="0"/>
              <w:left w:val="single" w:color="000000" w:sz="4" w:space="0"/>
              <w:bottom w:val="single" w:color="000000" w:sz="4" w:space="0"/>
              <w:right w:val="nil"/>
            </w:tcBorders>
            <w:shd w:val="clear" w:color="auto" w:fill="FFFFFF" w:themeFill="background1"/>
            <w:vAlign w:val="center"/>
          </w:tcPr>
          <w:p w14:paraId="141781A4">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1、饰面：采用优质环保三聚氰胺饰面板，符合GB/T 15102-2017《浸渍胶膜纸饰面纤维板和刨花板》、GB 18580-2017《室内装饰装修材料人造板及其制品中甲醛释放限量》标准，甲醛释放量≤0.019mg/m³；</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2、基材：采用优质环保刨花板18mm，符合GB/T 4897-2015《刨花板》GB 18580-2017《室内装饰装修材料人造板及其制品中甲醛释放限量》标准，静曲强度≥25.5MPa，弹性模量≥5260MPa，甲醛释放量≤0.018mg/m³；</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3、封边：采用优质环保封边条，符合QB/T 4463-2013《家具用封边条技术要求》、GB 28481-2012《塑料家具中有害物质限量》标准，未检出邻苯二甲酸酯，甲醛释放量≤0.02mg/L；</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4、白乳胶：采用优质环保白乳胶，符合GB 18583-2008《室内装饰装修材料胶粘剂中有害物质限量》标准，总挥发性有机物≤47.2g/L，未检出苯含量，未检出甲苯和二甲苯总和，游离甲醛≤0.07g/kg；</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5、五金件：采用优质五金配件（导轨、拉手、锁具、门铰、三合一连接件等），符合QB/T 3827-1999(2009)《轻工产品金属镀层和化学处理层的耐腐蚀试验方法乙酸盐雾试验(ASS)法》QB/T 3832-1999 (2009)《轻工产品金属镀层腐蚀试验结果的评价》标准，五金件150h乙酸盐雾试验,耐蚀等级：10级，整体五金配件紧密拼接，封边细腻，线条均匀，转角过渡自然，间隙细小且均等，经防锈处理，达国家标准。</w:t>
            </w:r>
          </w:p>
        </w:tc>
        <w:tc>
          <w:tcPr>
            <w:tcW w:w="208"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B95E74">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445"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6DE9B19">
            <w:pPr>
              <w:snapToGrid w:val="0"/>
              <w:jc w:val="center"/>
              <w:rPr>
                <w:rFonts w:hint="eastAsia" w:ascii="微软雅黑" w:hAnsi="微软雅黑" w:eastAsia="微软雅黑" w:cs="微软雅黑"/>
                <w:i w:val="0"/>
                <w:iCs w:val="0"/>
                <w:color w:val="000000"/>
                <w:sz w:val="20"/>
                <w:szCs w:val="20"/>
                <w:u w:val="none"/>
              </w:rPr>
            </w:pPr>
          </w:p>
        </w:tc>
        <w:tc>
          <w:tcPr>
            <w:tcW w:w="277"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18FAA4">
            <w:pPr>
              <w:snapToGrid w:val="0"/>
              <w:jc w:val="center"/>
              <w:rPr>
                <w:rFonts w:hint="eastAsia" w:ascii="微软雅黑" w:hAnsi="微软雅黑" w:eastAsia="微软雅黑" w:cs="微软雅黑"/>
                <w:i w:val="0"/>
                <w:iCs w:val="0"/>
                <w:color w:val="000000"/>
                <w:sz w:val="22"/>
                <w:szCs w:val="22"/>
                <w:u w:val="none"/>
              </w:rPr>
            </w:pPr>
          </w:p>
        </w:tc>
      </w:tr>
      <w:tr w14:paraId="4355F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C54F0">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2</w:t>
            </w:r>
          </w:p>
        </w:tc>
        <w:tc>
          <w:tcPr>
            <w:tcW w:w="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F7F07">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一桌四椅</w:t>
            </w:r>
          </w:p>
        </w:tc>
        <w:tc>
          <w:tcPr>
            <w:tcW w:w="7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CC0A6">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桌子：600*750</w:t>
            </w:r>
          </w:p>
        </w:tc>
        <w:tc>
          <w:tcPr>
            <w:tcW w:w="2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B5798">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桌子岩板：规格为直径 600mm、高度 750mm，桌面采用优质岩板材料，厚度不低于 12mm，表面耐磨、耐高温、防渗透、易清洁；岩板边缘圆角打磨，安全无毛刺；底部采用稳固钢架支撑结构，表面做防锈及环保喷涂处理，整体承重良好、不晃动，外观平整美观，符合国家环保及质量标准。椅子：厚度：1.5mm，抗张强度：≥10N/mm2，撕裂强度：≥30N/mm2，断裂伸长率：≤80%，颜色摩擦牢度≥4.5/3.5级（干/湿）涂层黏着牢度：≥2.5N/10mm，内部采用“惠丰”牌阻燃、环保高密度聚亚安脂-树脂（CM成型座棉），密度45kg/m3、回弹力90%、达国家阻燃标准。采用经过消毒、灭茵、钢架框架。外观尺寸公差符合相关行业标准规定。</w:t>
            </w:r>
          </w:p>
        </w:tc>
        <w:tc>
          <w:tcPr>
            <w:tcW w:w="2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BC3C2">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445" w:type="pct"/>
            <w:tcBorders>
              <w:top w:val="single" w:color="000000" w:sz="4" w:space="0"/>
              <w:left w:val="single" w:color="000000" w:sz="4" w:space="0"/>
              <w:bottom w:val="single" w:color="000000" w:sz="4" w:space="0"/>
              <w:right w:val="nil"/>
            </w:tcBorders>
            <w:shd w:val="clear" w:color="auto" w:fill="auto"/>
            <w:noWrap/>
            <w:vAlign w:val="center"/>
          </w:tcPr>
          <w:p w14:paraId="49AC0E50">
            <w:pPr>
              <w:snapToGrid w:val="0"/>
              <w:jc w:val="center"/>
              <w:rPr>
                <w:rFonts w:hint="eastAsia" w:ascii="微软雅黑" w:hAnsi="微软雅黑" w:eastAsia="微软雅黑" w:cs="微软雅黑"/>
                <w:i w:val="0"/>
                <w:iCs w:val="0"/>
                <w:color w:val="000000"/>
                <w:sz w:val="20"/>
                <w:szCs w:val="20"/>
                <w:u w:val="none"/>
              </w:rPr>
            </w:pP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9FAFC">
            <w:pPr>
              <w:snapToGrid w:val="0"/>
              <w:jc w:val="center"/>
              <w:rPr>
                <w:rFonts w:hint="eastAsia" w:ascii="微软雅黑" w:hAnsi="微软雅黑" w:eastAsia="微软雅黑" w:cs="微软雅黑"/>
                <w:i w:val="0"/>
                <w:iCs w:val="0"/>
                <w:color w:val="000000"/>
                <w:sz w:val="22"/>
                <w:szCs w:val="22"/>
                <w:u w:val="none"/>
              </w:rPr>
            </w:pPr>
          </w:p>
        </w:tc>
      </w:tr>
      <w:tr w14:paraId="3816B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1BE9D">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3</w:t>
            </w:r>
          </w:p>
        </w:tc>
        <w:tc>
          <w:tcPr>
            <w:tcW w:w="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92654">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沙发</w:t>
            </w:r>
          </w:p>
        </w:tc>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872BF">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3人位：190*85*85</w:t>
            </w:r>
          </w:p>
        </w:tc>
        <w:tc>
          <w:tcPr>
            <w:tcW w:w="2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C0398">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沙发面采用优质环保西皮，厚度：1.5mm，抗张强度：≥10N/mm2，撕裂强度：≥30N/mm2，断裂伸长率：≤80%，颜色摩擦牢度≥4.5/3.5级（干/湿）涂层黏着牢度：≥2.5N/10mm，内部采用“品牌”阻燃材料、环保高密度聚亚安脂-树脂（CM成型座棉），密度45kg/m3、回弹力90%、达国家阻燃标准。采用经过消毒、灭茵、烘干处理进口橡木实木结构。外观尺寸公差符合相关行业标准规定。</w:t>
            </w:r>
          </w:p>
        </w:tc>
        <w:tc>
          <w:tcPr>
            <w:tcW w:w="2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20DCA">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44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2BE095">
            <w:pPr>
              <w:snapToGrid w:val="0"/>
              <w:jc w:val="center"/>
              <w:rPr>
                <w:rFonts w:hint="eastAsia" w:ascii="微软雅黑" w:hAnsi="微软雅黑" w:eastAsia="微软雅黑" w:cs="微软雅黑"/>
                <w:i w:val="0"/>
                <w:iCs w:val="0"/>
                <w:color w:val="000000"/>
                <w:sz w:val="20"/>
                <w:szCs w:val="20"/>
                <w:u w:val="none"/>
              </w:rPr>
            </w:pP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76386">
            <w:pPr>
              <w:snapToGrid w:val="0"/>
              <w:jc w:val="center"/>
              <w:rPr>
                <w:rFonts w:hint="eastAsia" w:ascii="微软雅黑" w:hAnsi="微软雅黑" w:eastAsia="微软雅黑" w:cs="微软雅黑"/>
                <w:i w:val="0"/>
                <w:iCs w:val="0"/>
                <w:color w:val="000000"/>
                <w:sz w:val="22"/>
                <w:szCs w:val="22"/>
                <w:u w:val="none"/>
              </w:rPr>
            </w:pPr>
          </w:p>
        </w:tc>
      </w:tr>
      <w:tr w14:paraId="3B22C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E7B5A">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4</w:t>
            </w:r>
          </w:p>
        </w:tc>
        <w:tc>
          <w:tcPr>
            <w:tcW w:w="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F2184">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茶几</w:t>
            </w:r>
          </w:p>
        </w:tc>
        <w:tc>
          <w:tcPr>
            <w:tcW w:w="705" w:type="pct"/>
            <w:tcBorders>
              <w:top w:val="single" w:color="000000" w:sz="4" w:space="0"/>
              <w:left w:val="single" w:color="000000" w:sz="4" w:space="0"/>
              <w:bottom w:val="nil"/>
              <w:right w:val="single" w:color="000000" w:sz="4" w:space="0"/>
            </w:tcBorders>
            <w:shd w:val="clear" w:color="auto" w:fill="auto"/>
            <w:vAlign w:val="center"/>
          </w:tcPr>
          <w:p w14:paraId="3358D78B">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直径1200*600</w:t>
            </w:r>
          </w:p>
        </w:tc>
        <w:tc>
          <w:tcPr>
            <w:tcW w:w="2455" w:type="pct"/>
            <w:tcBorders>
              <w:top w:val="single" w:color="000000" w:sz="4" w:space="0"/>
              <w:left w:val="single" w:color="000000" w:sz="4" w:space="0"/>
              <w:bottom w:val="nil"/>
              <w:right w:val="single" w:color="000000" w:sz="4" w:space="0"/>
            </w:tcBorders>
            <w:shd w:val="clear" w:color="auto" w:fill="auto"/>
            <w:vAlign w:val="center"/>
          </w:tcPr>
          <w:p w14:paraId="487F5516">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岩板茶几：规格为直径1200*600mm、高度 420mm，桌面采用优质岩板材料，厚度不低于 12mm，表面耐磨、耐高温、防渗透、易清洁；岩板边缘圆角打磨，安全无毛刺；底部采用稳固钢架支撑结构，表面做防锈及环保喷涂处理，整体承重良好、不晃动，外观平整美观，符合国家环保及质量标准。</w:t>
            </w:r>
          </w:p>
        </w:tc>
        <w:tc>
          <w:tcPr>
            <w:tcW w:w="208" w:type="pct"/>
            <w:tcBorders>
              <w:top w:val="single" w:color="000000" w:sz="4" w:space="0"/>
              <w:left w:val="single" w:color="000000" w:sz="4" w:space="0"/>
              <w:bottom w:val="nil"/>
              <w:right w:val="single" w:color="000000" w:sz="4" w:space="0"/>
            </w:tcBorders>
            <w:shd w:val="clear" w:color="auto" w:fill="auto"/>
            <w:vAlign w:val="center"/>
          </w:tcPr>
          <w:p w14:paraId="154E10DD">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445" w:type="pct"/>
            <w:tcBorders>
              <w:top w:val="single" w:color="000000" w:sz="4" w:space="0"/>
              <w:left w:val="single" w:color="000000" w:sz="4" w:space="0"/>
              <w:bottom w:val="nil"/>
              <w:right w:val="single" w:color="000000" w:sz="4" w:space="0"/>
            </w:tcBorders>
            <w:shd w:val="clear" w:color="auto" w:fill="auto"/>
            <w:vAlign w:val="center"/>
          </w:tcPr>
          <w:p w14:paraId="4A2F113C">
            <w:pPr>
              <w:snapToGrid w:val="0"/>
              <w:jc w:val="center"/>
              <w:rPr>
                <w:rFonts w:hint="eastAsia" w:ascii="微软雅黑" w:hAnsi="微软雅黑" w:eastAsia="微软雅黑" w:cs="微软雅黑"/>
                <w:i w:val="0"/>
                <w:iCs w:val="0"/>
                <w:color w:val="000000"/>
                <w:sz w:val="20"/>
                <w:szCs w:val="20"/>
                <w:u w:val="none"/>
              </w:rPr>
            </w:pP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0BEB0">
            <w:pPr>
              <w:snapToGrid w:val="0"/>
              <w:jc w:val="center"/>
              <w:rPr>
                <w:rFonts w:hint="eastAsia" w:ascii="微软雅黑" w:hAnsi="微软雅黑" w:eastAsia="微软雅黑" w:cs="微软雅黑"/>
                <w:i w:val="0"/>
                <w:iCs w:val="0"/>
                <w:color w:val="000000"/>
                <w:sz w:val="22"/>
                <w:szCs w:val="22"/>
                <w:u w:val="none"/>
              </w:rPr>
            </w:pPr>
          </w:p>
        </w:tc>
      </w:tr>
      <w:tr w14:paraId="6F1A4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722" w:type="pct"/>
            <w:gridSpan w:val="6"/>
            <w:tcBorders>
              <w:top w:val="single" w:color="000000" w:sz="4" w:space="0"/>
              <w:left w:val="single" w:color="000000" w:sz="4" w:space="0"/>
              <w:bottom w:val="single" w:color="000000" w:sz="4" w:space="0"/>
              <w:right w:val="single" w:color="000000" w:sz="4" w:space="0"/>
            </w:tcBorders>
            <w:shd w:val="clear" w:color="auto" w:fill="A8EAE4"/>
            <w:noWrap/>
            <w:vAlign w:val="center"/>
          </w:tcPr>
          <w:p w14:paraId="79646C8D">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sz w:val="28"/>
                <w:szCs w:val="28"/>
                <w:u w:val="none"/>
              </w:rPr>
            </w:pPr>
            <w:r>
              <w:rPr>
                <w:rFonts w:hint="eastAsia" w:ascii="微软雅黑" w:hAnsi="微软雅黑" w:eastAsia="微软雅黑" w:cs="微软雅黑"/>
                <w:b/>
                <w:bCs/>
                <w:i w:val="0"/>
                <w:iCs w:val="0"/>
                <w:color w:val="000000"/>
                <w:kern w:val="0"/>
                <w:sz w:val="28"/>
                <w:szCs w:val="28"/>
                <w:u w:val="none"/>
                <w:lang w:val="en-US" w:eastAsia="zh-CN" w:bidi="ar"/>
              </w:rPr>
              <w:t>6.     324 办公室</w:t>
            </w:r>
          </w:p>
        </w:tc>
        <w:tc>
          <w:tcPr>
            <w:tcW w:w="277" w:type="pct"/>
            <w:tcBorders>
              <w:top w:val="single" w:color="000000" w:sz="4" w:space="0"/>
              <w:left w:val="single" w:color="000000" w:sz="4" w:space="0"/>
              <w:bottom w:val="single" w:color="000000" w:sz="4" w:space="0"/>
              <w:right w:val="single" w:color="000000" w:sz="4" w:space="0"/>
            </w:tcBorders>
            <w:shd w:val="clear" w:color="auto" w:fill="A8EAE4"/>
            <w:vAlign w:val="center"/>
          </w:tcPr>
          <w:p w14:paraId="6A82ECC6">
            <w:pPr>
              <w:snapToGrid w:val="0"/>
              <w:jc w:val="center"/>
              <w:rPr>
                <w:rFonts w:hint="eastAsia" w:ascii="微软雅黑" w:hAnsi="微软雅黑" w:eastAsia="微软雅黑" w:cs="微软雅黑"/>
                <w:i w:val="0"/>
                <w:iCs w:val="0"/>
                <w:color w:val="000000"/>
                <w:sz w:val="22"/>
                <w:szCs w:val="22"/>
                <w:u w:val="none"/>
              </w:rPr>
            </w:pPr>
          </w:p>
        </w:tc>
      </w:tr>
      <w:tr w14:paraId="4896E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81234">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w:t>
            </w:r>
          </w:p>
        </w:tc>
        <w:tc>
          <w:tcPr>
            <w:tcW w:w="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292D1">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定制转角屏风工位</w:t>
            </w:r>
          </w:p>
        </w:tc>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6B105">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1400*1400*1100</w:t>
            </w:r>
          </w:p>
        </w:tc>
        <w:tc>
          <w:tcPr>
            <w:tcW w:w="2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28BD3">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屏风采用全铝合金框架，并采用烤漆处理，外框厚度约40mm，承重力强，不易变形，上部为200mm磨砂玻璃，其余部分采用面料饰面，屏风强弱电可走线；台面板厚度为25mm，表面采用.8mm厚可弯曲防火板制作,基料板材均采用符合E0级标准的绿色环保高密度刨花板，含水率：4%～13%，甲醛释放量&lt;9mg/100g。独立空间。配同色主机架1套、活动柜1个，键盘架。</w:t>
            </w:r>
          </w:p>
        </w:tc>
        <w:tc>
          <w:tcPr>
            <w:tcW w:w="2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295AD">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20</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337F1">
            <w:pPr>
              <w:snapToGrid w:val="0"/>
              <w:jc w:val="center"/>
              <w:rPr>
                <w:rFonts w:hint="eastAsia" w:ascii="微软雅黑" w:hAnsi="微软雅黑" w:eastAsia="微软雅黑" w:cs="微软雅黑"/>
                <w:i w:val="0"/>
                <w:iCs w:val="0"/>
                <w:color w:val="000000"/>
                <w:sz w:val="20"/>
                <w:szCs w:val="20"/>
                <w:u w:val="none"/>
              </w:rPr>
            </w:pP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C4BE1">
            <w:pPr>
              <w:snapToGrid w:val="0"/>
              <w:jc w:val="center"/>
              <w:rPr>
                <w:rFonts w:hint="eastAsia" w:ascii="微软雅黑" w:hAnsi="微软雅黑" w:eastAsia="微软雅黑" w:cs="微软雅黑"/>
                <w:i w:val="0"/>
                <w:iCs w:val="0"/>
                <w:color w:val="000000"/>
                <w:sz w:val="22"/>
                <w:szCs w:val="22"/>
                <w:u w:val="none"/>
              </w:rPr>
            </w:pPr>
          </w:p>
        </w:tc>
      </w:tr>
      <w:tr w14:paraId="573A3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6C6BB">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2</w:t>
            </w:r>
          </w:p>
        </w:tc>
        <w:tc>
          <w:tcPr>
            <w:tcW w:w="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31461">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办公椅</w:t>
            </w:r>
          </w:p>
        </w:tc>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D51FF">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黑色网布</w:t>
            </w:r>
          </w:p>
        </w:tc>
        <w:tc>
          <w:tcPr>
            <w:tcW w:w="2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36DAC">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椅面采用进口网络布料,色泽亮丽、阻燃、防污、耐磨性强；座垫采用高密度、高回弹PU定型发泡海绵，密度≥45kg/cm3,软硬适中，回弹性能好，不变形；座垫依据人体工学原理设计，采用1.5MM夹板八层垫压成成型，成型板材约12MM，板材承受力达300KG，采用优质气压棒，升降自如，升降时基本无声响，经测度可承受250KG压力，升降30万次无损；五轮脚架采用33%尼龙架纤维材料一次冲压成型，底部独有的加强筋（肋状设计）保证受力均匀，滑动时无杂音。</w:t>
            </w:r>
          </w:p>
        </w:tc>
        <w:tc>
          <w:tcPr>
            <w:tcW w:w="2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0A913">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20</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939DA">
            <w:pPr>
              <w:snapToGrid w:val="0"/>
              <w:jc w:val="center"/>
              <w:rPr>
                <w:rFonts w:hint="eastAsia" w:ascii="微软雅黑" w:hAnsi="微软雅黑" w:eastAsia="微软雅黑" w:cs="微软雅黑"/>
                <w:i w:val="0"/>
                <w:iCs w:val="0"/>
                <w:color w:val="000000"/>
                <w:sz w:val="20"/>
                <w:szCs w:val="20"/>
                <w:u w:val="none"/>
              </w:rPr>
            </w:pP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8B0D8">
            <w:pPr>
              <w:snapToGrid w:val="0"/>
              <w:jc w:val="center"/>
              <w:rPr>
                <w:rFonts w:hint="eastAsia" w:ascii="微软雅黑" w:hAnsi="微软雅黑" w:eastAsia="微软雅黑" w:cs="微软雅黑"/>
                <w:i w:val="0"/>
                <w:iCs w:val="0"/>
                <w:color w:val="000000"/>
                <w:sz w:val="22"/>
                <w:szCs w:val="22"/>
                <w:u w:val="none"/>
              </w:rPr>
            </w:pPr>
          </w:p>
        </w:tc>
      </w:tr>
    </w:tbl>
    <w:p w14:paraId="5C114557">
      <w:pPr>
        <w:widowControl/>
        <w:jc w:val="left"/>
        <w:rPr>
          <w:b/>
          <w:sz w:val="28"/>
          <w:szCs w:val="28"/>
        </w:rPr>
      </w:pPr>
      <w:r>
        <w:rPr>
          <w:b/>
          <w:sz w:val="28"/>
          <w:szCs w:val="28"/>
        </w:rPr>
        <w:br w:type="page"/>
      </w:r>
      <w:r>
        <w:rPr>
          <w:rFonts w:hint="eastAsia"/>
          <w:b/>
          <w:sz w:val="28"/>
          <w:szCs w:val="28"/>
        </w:rPr>
        <w:t xml:space="preserve">供方响应：             </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
        <w:gridCol w:w="2722"/>
        <w:gridCol w:w="1361"/>
        <w:gridCol w:w="3227"/>
        <w:gridCol w:w="1140"/>
        <w:gridCol w:w="1361"/>
        <w:gridCol w:w="1361"/>
        <w:gridCol w:w="1361"/>
      </w:tblGrid>
      <w:tr w14:paraId="53C6A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7" w:type="dxa"/>
          </w:tcPr>
          <w:p w14:paraId="1D9E1245">
            <w:pPr>
              <w:jc w:val="center"/>
              <w:rPr>
                <w:b/>
                <w:sz w:val="28"/>
                <w:szCs w:val="28"/>
              </w:rPr>
            </w:pPr>
            <w:r>
              <w:rPr>
                <w:rFonts w:hint="eastAsia"/>
                <w:b/>
                <w:sz w:val="28"/>
                <w:szCs w:val="28"/>
              </w:rPr>
              <w:t>序号</w:t>
            </w:r>
          </w:p>
        </w:tc>
        <w:tc>
          <w:tcPr>
            <w:tcW w:w="2722" w:type="dxa"/>
          </w:tcPr>
          <w:p w14:paraId="542F979D">
            <w:pPr>
              <w:jc w:val="center"/>
              <w:rPr>
                <w:b/>
                <w:sz w:val="28"/>
                <w:szCs w:val="28"/>
              </w:rPr>
            </w:pPr>
            <w:r>
              <w:rPr>
                <w:rFonts w:hint="eastAsia"/>
                <w:b/>
                <w:sz w:val="28"/>
                <w:szCs w:val="28"/>
              </w:rPr>
              <w:t>名 称</w:t>
            </w:r>
          </w:p>
        </w:tc>
        <w:tc>
          <w:tcPr>
            <w:tcW w:w="1361" w:type="dxa"/>
          </w:tcPr>
          <w:p w14:paraId="40D844DE">
            <w:pPr>
              <w:jc w:val="center"/>
              <w:rPr>
                <w:b/>
                <w:sz w:val="28"/>
                <w:szCs w:val="28"/>
              </w:rPr>
            </w:pPr>
            <w:r>
              <w:rPr>
                <w:rFonts w:hint="eastAsia"/>
                <w:b/>
                <w:sz w:val="28"/>
                <w:szCs w:val="28"/>
              </w:rPr>
              <w:t>生产厂家</w:t>
            </w:r>
          </w:p>
        </w:tc>
        <w:tc>
          <w:tcPr>
            <w:tcW w:w="3227" w:type="dxa"/>
          </w:tcPr>
          <w:p w14:paraId="43D6C287">
            <w:pPr>
              <w:jc w:val="center"/>
              <w:rPr>
                <w:b/>
                <w:sz w:val="28"/>
                <w:szCs w:val="28"/>
              </w:rPr>
            </w:pPr>
            <w:r>
              <w:rPr>
                <w:rFonts w:hint="eastAsia"/>
                <w:b/>
                <w:sz w:val="28"/>
                <w:szCs w:val="28"/>
              </w:rPr>
              <w:t>技术参数或规格要求</w:t>
            </w:r>
          </w:p>
        </w:tc>
        <w:tc>
          <w:tcPr>
            <w:tcW w:w="1140" w:type="dxa"/>
          </w:tcPr>
          <w:p w14:paraId="20F192A1">
            <w:pPr>
              <w:jc w:val="center"/>
              <w:rPr>
                <w:b/>
                <w:sz w:val="28"/>
                <w:szCs w:val="28"/>
              </w:rPr>
            </w:pPr>
            <w:r>
              <w:rPr>
                <w:rFonts w:hint="eastAsia"/>
                <w:b/>
                <w:sz w:val="28"/>
                <w:szCs w:val="28"/>
              </w:rPr>
              <w:t>数量</w:t>
            </w:r>
          </w:p>
        </w:tc>
        <w:tc>
          <w:tcPr>
            <w:tcW w:w="1361" w:type="dxa"/>
            <w:shd w:val="clear" w:color="auto" w:fill="auto"/>
          </w:tcPr>
          <w:p w14:paraId="6E92FF4E">
            <w:pPr>
              <w:widowControl/>
              <w:jc w:val="center"/>
              <w:rPr>
                <w:b/>
                <w:sz w:val="28"/>
                <w:szCs w:val="28"/>
              </w:rPr>
            </w:pPr>
            <w:r>
              <w:rPr>
                <w:rFonts w:hint="eastAsia"/>
                <w:b/>
                <w:sz w:val="28"/>
                <w:szCs w:val="28"/>
              </w:rPr>
              <w:t>单价</w:t>
            </w:r>
          </w:p>
        </w:tc>
        <w:tc>
          <w:tcPr>
            <w:tcW w:w="1361" w:type="dxa"/>
            <w:shd w:val="clear" w:color="auto" w:fill="auto"/>
          </w:tcPr>
          <w:p w14:paraId="185944DB">
            <w:pPr>
              <w:widowControl/>
              <w:jc w:val="center"/>
              <w:rPr>
                <w:b/>
                <w:sz w:val="28"/>
                <w:szCs w:val="28"/>
              </w:rPr>
            </w:pPr>
            <w:r>
              <w:rPr>
                <w:rFonts w:hint="eastAsia"/>
                <w:b/>
                <w:sz w:val="28"/>
                <w:szCs w:val="28"/>
              </w:rPr>
              <w:t>合计</w:t>
            </w:r>
          </w:p>
        </w:tc>
        <w:tc>
          <w:tcPr>
            <w:tcW w:w="1361" w:type="dxa"/>
            <w:shd w:val="clear" w:color="auto" w:fill="auto"/>
          </w:tcPr>
          <w:p w14:paraId="7EB3D386">
            <w:pPr>
              <w:widowControl/>
              <w:jc w:val="center"/>
              <w:rPr>
                <w:b/>
                <w:sz w:val="28"/>
                <w:szCs w:val="28"/>
              </w:rPr>
            </w:pPr>
            <w:r>
              <w:rPr>
                <w:rFonts w:hint="eastAsia"/>
                <w:b/>
                <w:sz w:val="28"/>
                <w:szCs w:val="28"/>
              </w:rPr>
              <w:t>质保期</w:t>
            </w:r>
          </w:p>
        </w:tc>
      </w:tr>
      <w:tr w14:paraId="64024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907" w:type="dxa"/>
          </w:tcPr>
          <w:p w14:paraId="08457452">
            <w:pPr>
              <w:jc w:val="center"/>
              <w:rPr>
                <w:sz w:val="28"/>
                <w:szCs w:val="28"/>
              </w:rPr>
            </w:pPr>
            <w:r>
              <w:rPr>
                <w:rFonts w:hint="eastAsia"/>
                <w:sz w:val="28"/>
                <w:szCs w:val="28"/>
              </w:rPr>
              <w:t>1</w:t>
            </w:r>
          </w:p>
        </w:tc>
        <w:tc>
          <w:tcPr>
            <w:tcW w:w="2722" w:type="dxa"/>
            <w:vAlign w:val="center"/>
          </w:tcPr>
          <w:p w14:paraId="6B8C2156">
            <w:pPr>
              <w:jc w:val="center"/>
              <w:rPr>
                <w:b/>
              </w:rPr>
            </w:pPr>
          </w:p>
        </w:tc>
        <w:tc>
          <w:tcPr>
            <w:tcW w:w="1361" w:type="dxa"/>
            <w:vAlign w:val="center"/>
          </w:tcPr>
          <w:p w14:paraId="79E7DF3E">
            <w:pPr>
              <w:jc w:val="center"/>
              <w:rPr>
                <w:b/>
                <w:sz w:val="28"/>
                <w:szCs w:val="28"/>
              </w:rPr>
            </w:pPr>
          </w:p>
        </w:tc>
        <w:tc>
          <w:tcPr>
            <w:tcW w:w="3227" w:type="dxa"/>
            <w:vAlign w:val="center"/>
          </w:tcPr>
          <w:p w14:paraId="4F6C493B">
            <w:pPr>
              <w:jc w:val="center"/>
              <w:rPr>
                <w:b/>
              </w:rPr>
            </w:pPr>
          </w:p>
        </w:tc>
        <w:tc>
          <w:tcPr>
            <w:tcW w:w="1140" w:type="dxa"/>
            <w:vAlign w:val="center"/>
          </w:tcPr>
          <w:p w14:paraId="08423215">
            <w:pPr>
              <w:jc w:val="center"/>
              <w:rPr>
                <w:b/>
              </w:rPr>
            </w:pPr>
          </w:p>
        </w:tc>
        <w:tc>
          <w:tcPr>
            <w:tcW w:w="1361" w:type="dxa"/>
            <w:shd w:val="clear" w:color="auto" w:fill="auto"/>
            <w:vAlign w:val="center"/>
          </w:tcPr>
          <w:p w14:paraId="6E87F457">
            <w:pPr>
              <w:widowControl/>
              <w:jc w:val="center"/>
              <w:rPr>
                <w:b/>
              </w:rPr>
            </w:pPr>
          </w:p>
        </w:tc>
        <w:tc>
          <w:tcPr>
            <w:tcW w:w="1361" w:type="dxa"/>
            <w:shd w:val="clear" w:color="auto" w:fill="auto"/>
            <w:vAlign w:val="center"/>
          </w:tcPr>
          <w:p w14:paraId="70B5ADF4">
            <w:pPr>
              <w:widowControl/>
              <w:jc w:val="center"/>
              <w:rPr>
                <w:b/>
              </w:rPr>
            </w:pPr>
          </w:p>
        </w:tc>
        <w:tc>
          <w:tcPr>
            <w:tcW w:w="1361" w:type="dxa"/>
            <w:shd w:val="clear" w:color="auto" w:fill="auto"/>
            <w:vAlign w:val="center"/>
          </w:tcPr>
          <w:p w14:paraId="0ACC8B22">
            <w:pPr>
              <w:widowControl/>
              <w:jc w:val="center"/>
              <w:rPr>
                <w:b/>
              </w:rPr>
            </w:pPr>
          </w:p>
        </w:tc>
      </w:tr>
      <w:tr w14:paraId="2119C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907" w:type="dxa"/>
          </w:tcPr>
          <w:p w14:paraId="45C9E686">
            <w:pPr>
              <w:jc w:val="center"/>
              <w:rPr>
                <w:sz w:val="28"/>
                <w:szCs w:val="28"/>
              </w:rPr>
            </w:pPr>
            <w:r>
              <w:rPr>
                <w:rFonts w:hint="eastAsia"/>
                <w:sz w:val="28"/>
                <w:szCs w:val="28"/>
              </w:rPr>
              <w:t>2</w:t>
            </w:r>
          </w:p>
        </w:tc>
        <w:tc>
          <w:tcPr>
            <w:tcW w:w="2722" w:type="dxa"/>
            <w:vAlign w:val="center"/>
          </w:tcPr>
          <w:p w14:paraId="6D9D8F06">
            <w:pPr>
              <w:jc w:val="center"/>
              <w:rPr>
                <w:b/>
              </w:rPr>
            </w:pPr>
          </w:p>
        </w:tc>
        <w:tc>
          <w:tcPr>
            <w:tcW w:w="1361" w:type="dxa"/>
            <w:vAlign w:val="center"/>
          </w:tcPr>
          <w:p w14:paraId="5084CC0B">
            <w:pPr>
              <w:jc w:val="center"/>
              <w:rPr>
                <w:b/>
                <w:sz w:val="28"/>
                <w:szCs w:val="28"/>
              </w:rPr>
            </w:pPr>
          </w:p>
        </w:tc>
        <w:tc>
          <w:tcPr>
            <w:tcW w:w="3227" w:type="dxa"/>
            <w:vAlign w:val="center"/>
          </w:tcPr>
          <w:p w14:paraId="1194AD5F">
            <w:pPr>
              <w:jc w:val="center"/>
              <w:rPr>
                <w:b/>
              </w:rPr>
            </w:pPr>
          </w:p>
        </w:tc>
        <w:tc>
          <w:tcPr>
            <w:tcW w:w="1140" w:type="dxa"/>
            <w:vAlign w:val="center"/>
          </w:tcPr>
          <w:p w14:paraId="0FCBD428">
            <w:pPr>
              <w:jc w:val="center"/>
              <w:rPr>
                <w:b/>
              </w:rPr>
            </w:pPr>
          </w:p>
        </w:tc>
        <w:tc>
          <w:tcPr>
            <w:tcW w:w="1361" w:type="dxa"/>
            <w:shd w:val="clear" w:color="auto" w:fill="auto"/>
            <w:vAlign w:val="center"/>
          </w:tcPr>
          <w:p w14:paraId="1996B051">
            <w:pPr>
              <w:widowControl/>
              <w:jc w:val="center"/>
              <w:rPr>
                <w:b/>
              </w:rPr>
            </w:pPr>
          </w:p>
        </w:tc>
        <w:tc>
          <w:tcPr>
            <w:tcW w:w="1361" w:type="dxa"/>
            <w:shd w:val="clear" w:color="auto" w:fill="auto"/>
            <w:vAlign w:val="center"/>
          </w:tcPr>
          <w:p w14:paraId="44F6C63A">
            <w:pPr>
              <w:widowControl/>
              <w:jc w:val="center"/>
              <w:rPr>
                <w:b/>
              </w:rPr>
            </w:pPr>
          </w:p>
        </w:tc>
        <w:tc>
          <w:tcPr>
            <w:tcW w:w="1361" w:type="dxa"/>
            <w:shd w:val="clear" w:color="auto" w:fill="auto"/>
            <w:vAlign w:val="center"/>
          </w:tcPr>
          <w:p w14:paraId="354E8A3B">
            <w:pPr>
              <w:widowControl/>
              <w:jc w:val="center"/>
              <w:rPr>
                <w:b/>
              </w:rPr>
            </w:pPr>
          </w:p>
        </w:tc>
      </w:tr>
      <w:tr w14:paraId="20E95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907" w:type="dxa"/>
          </w:tcPr>
          <w:p w14:paraId="748C0FF7">
            <w:pPr>
              <w:jc w:val="center"/>
              <w:rPr>
                <w:sz w:val="28"/>
                <w:szCs w:val="28"/>
              </w:rPr>
            </w:pPr>
            <w:r>
              <w:rPr>
                <w:rFonts w:hint="eastAsia"/>
                <w:sz w:val="28"/>
                <w:szCs w:val="28"/>
              </w:rPr>
              <w:t>3</w:t>
            </w:r>
          </w:p>
        </w:tc>
        <w:tc>
          <w:tcPr>
            <w:tcW w:w="2722" w:type="dxa"/>
            <w:vAlign w:val="center"/>
          </w:tcPr>
          <w:p w14:paraId="3C4D62B4">
            <w:pPr>
              <w:jc w:val="center"/>
              <w:rPr>
                <w:b/>
              </w:rPr>
            </w:pPr>
          </w:p>
        </w:tc>
        <w:tc>
          <w:tcPr>
            <w:tcW w:w="1361" w:type="dxa"/>
            <w:vAlign w:val="center"/>
          </w:tcPr>
          <w:p w14:paraId="7FD0637C">
            <w:pPr>
              <w:jc w:val="center"/>
              <w:rPr>
                <w:b/>
                <w:sz w:val="28"/>
                <w:szCs w:val="28"/>
              </w:rPr>
            </w:pPr>
          </w:p>
        </w:tc>
        <w:tc>
          <w:tcPr>
            <w:tcW w:w="3227" w:type="dxa"/>
            <w:vAlign w:val="center"/>
          </w:tcPr>
          <w:p w14:paraId="788592EA">
            <w:pPr>
              <w:jc w:val="center"/>
              <w:rPr>
                <w:b/>
              </w:rPr>
            </w:pPr>
          </w:p>
        </w:tc>
        <w:tc>
          <w:tcPr>
            <w:tcW w:w="1140" w:type="dxa"/>
            <w:vAlign w:val="center"/>
          </w:tcPr>
          <w:p w14:paraId="3762196A">
            <w:pPr>
              <w:jc w:val="center"/>
              <w:rPr>
                <w:b/>
              </w:rPr>
            </w:pPr>
          </w:p>
        </w:tc>
        <w:tc>
          <w:tcPr>
            <w:tcW w:w="1361" w:type="dxa"/>
            <w:shd w:val="clear" w:color="auto" w:fill="auto"/>
            <w:vAlign w:val="center"/>
          </w:tcPr>
          <w:p w14:paraId="4975BB78">
            <w:pPr>
              <w:widowControl/>
              <w:jc w:val="center"/>
              <w:rPr>
                <w:b/>
              </w:rPr>
            </w:pPr>
          </w:p>
        </w:tc>
        <w:tc>
          <w:tcPr>
            <w:tcW w:w="1361" w:type="dxa"/>
            <w:shd w:val="clear" w:color="auto" w:fill="auto"/>
            <w:vAlign w:val="center"/>
          </w:tcPr>
          <w:p w14:paraId="44A5BAC4">
            <w:pPr>
              <w:widowControl/>
              <w:jc w:val="center"/>
              <w:rPr>
                <w:b/>
              </w:rPr>
            </w:pPr>
          </w:p>
        </w:tc>
        <w:tc>
          <w:tcPr>
            <w:tcW w:w="1361" w:type="dxa"/>
            <w:shd w:val="clear" w:color="auto" w:fill="auto"/>
            <w:vAlign w:val="center"/>
          </w:tcPr>
          <w:p w14:paraId="46575F21">
            <w:pPr>
              <w:widowControl/>
              <w:jc w:val="center"/>
              <w:rPr>
                <w:b/>
              </w:rPr>
            </w:pPr>
          </w:p>
        </w:tc>
      </w:tr>
      <w:tr w14:paraId="7C420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907" w:type="dxa"/>
          </w:tcPr>
          <w:p w14:paraId="3405CFB8">
            <w:pPr>
              <w:jc w:val="center"/>
              <w:rPr>
                <w:sz w:val="28"/>
                <w:szCs w:val="28"/>
              </w:rPr>
            </w:pPr>
            <w:r>
              <w:rPr>
                <w:rFonts w:hint="eastAsia"/>
                <w:sz w:val="28"/>
                <w:szCs w:val="28"/>
              </w:rPr>
              <w:t>4</w:t>
            </w:r>
          </w:p>
        </w:tc>
        <w:tc>
          <w:tcPr>
            <w:tcW w:w="2722" w:type="dxa"/>
            <w:vAlign w:val="center"/>
          </w:tcPr>
          <w:p w14:paraId="5DFE9CD6">
            <w:pPr>
              <w:jc w:val="center"/>
              <w:rPr>
                <w:b/>
              </w:rPr>
            </w:pPr>
          </w:p>
        </w:tc>
        <w:tc>
          <w:tcPr>
            <w:tcW w:w="1361" w:type="dxa"/>
            <w:vAlign w:val="center"/>
          </w:tcPr>
          <w:p w14:paraId="0BD3932A">
            <w:pPr>
              <w:jc w:val="center"/>
              <w:rPr>
                <w:b/>
                <w:sz w:val="28"/>
                <w:szCs w:val="28"/>
              </w:rPr>
            </w:pPr>
          </w:p>
        </w:tc>
        <w:tc>
          <w:tcPr>
            <w:tcW w:w="3227" w:type="dxa"/>
            <w:vAlign w:val="center"/>
          </w:tcPr>
          <w:p w14:paraId="4EC1686E">
            <w:pPr>
              <w:jc w:val="center"/>
              <w:rPr>
                <w:b/>
              </w:rPr>
            </w:pPr>
          </w:p>
        </w:tc>
        <w:tc>
          <w:tcPr>
            <w:tcW w:w="1140" w:type="dxa"/>
            <w:vAlign w:val="center"/>
          </w:tcPr>
          <w:p w14:paraId="6CD02A50">
            <w:pPr>
              <w:jc w:val="center"/>
              <w:rPr>
                <w:b/>
              </w:rPr>
            </w:pPr>
          </w:p>
        </w:tc>
        <w:tc>
          <w:tcPr>
            <w:tcW w:w="1361" w:type="dxa"/>
            <w:shd w:val="clear" w:color="auto" w:fill="auto"/>
            <w:vAlign w:val="center"/>
          </w:tcPr>
          <w:p w14:paraId="08F41D8D">
            <w:pPr>
              <w:widowControl/>
              <w:jc w:val="center"/>
              <w:rPr>
                <w:b/>
              </w:rPr>
            </w:pPr>
          </w:p>
        </w:tc>
        <w:tc>
          <w:tcPr>
            <w:tcW w:w="1361" w:type="dxa"/>
            <w:shd w:val="clear" w:color="auto" w:fill="auto"/>
            <w:vAlign w:val="center"/>
          </w:tcPr>
          <w:p w14:paraId="181E5FA6">
            <w:pPr>
              <w:widowControl/>
              <w:jc w:val="center"/>
              <w:rPr>
                <w:b/>
              </w:rPr>
            </w:pPr>
          </w:p>
        </w:tc>
        <w:tc>
          <w:tcPr>
            <w:tcW w:w="1361" w:type="dxa"/>
            <w:shd w:val="clear" w:color="auto" w:fill="auto"/>
            <w:vAlign w:val="center"/>
          </w:tcPr>
          <w:p w14:paraId="4B8D0693">
            <w:pPr>
              <w:widowControl/>
              <w:jc w:val="center"/>
              <w:rPr>
                <w:b/>
              </w:rPr>
            </w:pPr>
          </w:p>
        </w:tc>
      </w:tr>
      <w:tr w14:paraId="2EA8E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907" w:type="dxa"/>
          </w:tcPr>
          <w:p w14:paraId="0D07B26F">
            <w:pPr>
              <w:jc w:val="center"/>
              <w:rPr>
                <w:sz w:val="28"/>
                <w:szCs w:val="28"/>
              </w:rPr>
            </w:pPr>
            <w:r>
              <w:rPr>
                <w:rFonts w:hint="eastAsia"/>
                <w:sz w:val="28"/>
                <w:szCs w:val="28"/>
              </w:rPr>
              <w:t>5</w:t>
            </w:r>
          </w:p>
        </w:tc>
        <w:tc>
          <w:tcPr>
            <w:tcW w:w="2722" w:type="dxa"/>
            <w:vAlign w:val="center"/>
          </w:tcPr>
          <w:p w14:paraId="7B54F35C">
            <w:pPr>
              <w:jc w:val="center"/>
              <w:rPr>
                <w:b/>
              </w:rPr>
            </w:pPr>
          </w:p>
        </w:tc>
        <w:tc>
          <w:tcPr>
            <w:tcW w:w="1361" w:type="dxa"/>
            <w:vAlign w:val="center"/>
          </w:tcPr>
          <w:p w14:paraId="0509029E">
            <w:pPr>
              <w:jc w:val="center"/>
              <w:rPr>
                <w:b/>
                <w:sz w:val="28"/>
                <w:szCs w:val="28"/>
              </w:rPr>
            </w:pPr>
          </w:p>
        </w:tc>
        <w:tc>
          <w:tcPr>
            <w:tcW w:w="3227" w:type="dxa"/>
            <w:vAlign w:val="center"/>
          </w:tcPr>
          <w:p w14:paraId="45B613FB">
            <w:pPr>
              <w:jc w:val="center"/>
              <w:rPr>
                <w:b/>
              </w:rPr>
            </w:pPr>
          </w:p>
        </w:tc>
        <w:tc>
          <w:tcPr>
            <w:tcW w:w="1140" w:type="dxa"/>
            <w:vAlign w:val="center"/>
          </w:tcPr>
          <w:p w14:paraId="752960F1">
            <w:pPr>
              <w:jc w:val="center"/>
              <w:rPr>
                <w:b/>
              </w:rPr>
            </w:pPr>
          </w:p>
        </w:tc>
        <w:tc>
          <w:tcPr>
            <w:tcW w:w="1361" w:type="dxa"/>
            <w:shd w:val="clear" w:color="auto" w:fill="auto"/>
            <w:vAlign w:val="center"/>
          </w:tcPr>
          <w:p w14:paraId="4F78F8CF">
            <w:pPr>
              <w:widowControl/>
              <w:jc w:val="center"/>
              <w:rPr>
                <w:b/>
              </w:rPr>
            </w:pPr>
          </w:p>
        </w:tc>
        <w:tc>
          <w:tcPr>
            <w:tcW w:w="1361" w:type="dxa"/>
            <w:shd w:val="clear" w:color="auto" w:fill="auto"/>
            <w:vAlign w:val="center"/>
          </w:tcPr>
          <w:p w14:paraId="6EEDEF65">
            <w:pPr>
              <w:widowControl/>
              <w:jc w:val="center"/>
              <w:rPr>
                <w:b/>
              </w:rPr>
            </w:pPr>
          </w:p>
        </w:tc>
        <w:tc>
          <w:tcPr>
            <w:tcW w:w="1361" w:type="dxa"/>
            <w:shd w:val="clear" w:color="auto" w:fill="auto"/>
            <w:vAlign w:val="center"/>
          </w:tcPr>
          <w:p w14:paraId="3075B4E1">
            <w:pPr>
              <w:widowControl/>
              <w:jc w:val="center"/>
              <w:rPr>
                <w:b/>
              </w:rPr>
            </w:pPr>
          </w:p>
        </w:tc>
      </w:tr>
      <w:tr w14:paraId="0A52E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907" w:type="dxa"/>
          </w:tcPr>
          <w:p w14:paraId="212A343A">
            <w:pPr>
              <w:jc w:val="center"/>
              <w:rPr>
                <w:sz w:val="28"/>
                <w:szCs w:val="28"/>
              </w:rPr>
            </w:pPr>
            <w:r>
              <w:rPr>
                <w:rFonts w:hint="eastAsia"/>
                <w:sz w:val="28"/>
                <w:szCs w:val="28"/>
              </w:rPr>
              <w:t>6</w:t>
            </w:r>
          </w:p>
        </w:tc>
        <w:tc>
          <w:tcPr>
            <w:tcW w:w="2722" w:type="dxa"/>
            <w:vAlign w:val="center"/>
          </w:tcPr>
          <w:p w14:paraId="6B2258CE">
            <w:pPr>
              <w:jc w:val="center"/>
              <w:rPr>
                <w:b/>
              </w:rPr>
            </w:pPr>
          </w:p>
        </w:tc>
        <w:tc>
          <w:tcPr>
            <w:tcW w:w="1361" w:type="dxa"/>
            <w:vAlign w:val="center"/>
          </w:tcPr>
          <w:p w14:paraId="1FB5B878">
            <w:pPr>
              <w:jc w:val="center"/>
              <w:rPr>
                <w:b/>
                <w:sz w:val="28"/>
                <w:szCs w:val="28"/>
              </w:rPr>
            </w:pPr>
          </w:p>
        </w:tc>
        <w:tc>
          <w:tcPr>
            <w:tcW w:w="3227" w:type="dxa"/>
            <w:vAlign w:val="center"/>
          </w:tcPr>
          <w:p w14:paraId="1972A126">
            <w:pPr>
              <w:jc w:val="center"/>
              <w:rPr>
                <w:b/>
              </w:rPr>
            </w:pPr>
          </w:p>
        </w:tc>
        <w:tc>
          <w:tcPr>
            <w:tcW w:w="1140" w:type="dxa"/>
            <w:vAlign w:val="center"/>
          </w:tcPr>
          <w:p w14:paraId="5D9CE234">
            <w:pPr>
              <w:jc w:val="center"/>
              <w:rPr>
                <w:b/>
              </w:rPr>
            </w:pPr>
          </w:p>
        </w:tc>
        <w:tc>
          <w:tcPr>
            <w:tcW w:w="1361" w:type="dxa"/>
            <w:shd w:val="clear" w:color="auto" w:fill="auto"/>
            <w:vAlign w:val="center"/>
          </w:tcPr>
          <w:p w14:paraId="669ED5F5">
            <w:pPr>
              <w:widowControl/>
              <w:jc w:val="center"/>
              <w:rPr>
                <w:b/>
              </w:rPr>
            </w:pPr>
          </w:p>
        </w:tc>
        <w:tc>
          <w:tcPr>
            <w:tcW w:w="1361" w:type="dxa"/>
            <w:shd w:val="clear" w:color="auto" w:fill="auto"/>
            <w:vAlign w:val="center"/>
          </w:tcPr>
          <w:p w14:paraId="7682F583">
            <w:pPr>
              <w:widowControl/>
              <w:jc w:val="center"/>
              <w:rPr>
                <w:b/>
              </w:rPr>
            </w:pPr>
          </w:p>
        </w:tc>
        <w:tc>
          <w:tcPr>
            <w:tcW w:w="1361" w:type="dxa"/>
            <w:shd w:val="clear" w:color="auto" w:fill="auto"/>
            <w:vAlign w:val="center"/>
          </w:tcPr>
          <w:p w14:paraId="52D32C2F">
            <w:pPr>
              <w:widowControl/>
              <w:jc w:val="center"/>
              <w:rPr>
                <w:b/>
              </w:rPr>
            </w:pPr>
          </w:p>
        </w:tc>
      </w:tr>
      <w:tr w14:paraId="2B90C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907" w:type="dxa"/>
          </w:tcPr>
          <w:p w14:paraId="2A994B04">
            <w:pPr>
              <w:jc w:val="center"/>
              <w:rPr>
                <w:sz w:val="28"/>
                <w:szCs w:val="28"/>
              </w:rPr>
            </w:pPr>
            <w:r>
              <w:rPr>
                <w:rFonts w:hint="eastAsia"/>
                <w:sz w:val="28"/>
                <w:szCs w:val="28"/>
              </w:rPr>
              <w:t>7</w:t>
            </w:r>
          </w:p>
        </w:tc>
        <w:tc>
          <w:tcPr>
            <w:tcW w:w="2722" w:type="dxa"/>
            <w:vAlign w:val="center"/>
          </w:tcPr>
          <w:p w14:paraId="55DF9897">
            <w:pPr>
              <w:jc w:val="center"/>
              <w:rPr>
                <w:b/>
              </w:rPr>
            </w:pPr>
          </w:p>
        </w:tc>
        <w:tc>
          <w:tcPr>
            <w:tcW w:w="1361" w:type="dxa"/>
            <w:vAlign w:val="center"/>
          </w:tcPr>
          <w:p w14:paraId="7DEDC546">
            <w:pPr>
              <w:jc w:val="center"/>
              <w:rPr>
                <w:b/>
                <w:sz w:val="28"/>
                <w:szCs w:val="28"/>
              </w:rPr>
            </w:pPr>
          </w:p>
        </w:tc>
        <w:tc>
          <w:tcPr>
            <w:tcW w:w="3227" w:type="dxa"/>
            <w:vAlign w:val="center"/>
          </w:tcPr>
          <w:p w14:paraId="25B60844">
            <w:pPr>
              <w:jc w:val="center"/>
              <w:rPr>
                <w:b/>
              </w:rPr>
            </w:pPr>
          </w:p>
        </w:tc>
        <w:tc>
          <w:tcPr>
            <w:tcW w:w="1140" w:type="dxa"/>
            <w:vAlign w:val="center"/>
          </w:tcPr>
          <w:p w14:paraId="5367D9AA">
            <w:pPr>
              <w:jc w:val="center"/>
              <w:rPr>
                <w:b/>
              </w:rPr>
            </w:pPr>
          </w:p>
        </w:tc>
        <w:tc>
          <w:tcPr>
            <w:tcW w:w="1361" w:type="dxa"/>
            <w:shd w:val="clear" w:color="auto" w:fill="auto"/>
            <w:vAlign w:val="center"/>
          </w:tcPr>
          <w:p w14:paraId="52163B1A">
            <w:pPr>
              <w:widowControl/>
              <w:jc w:val="center"/>
              <w:rPr>
                <w:b/>
              </w:rPr>
            </w:pPr>
          </w:p>
        </w:tc>
        <w:tc>
          <w:tcPr>
            <w:tcW w:w="1361" w:type="dxa"/>
            <w:shd w:val="clear" w:color="auto" w:fill="auto"/>
            <w:vAlign w:val="center"/>
          </w:tcPr>
          <w:p w14:paraId="39E64750">
            <w:pPr>
              <w:widowControl/>
              <w:jc w:val="center"/>
              <w:rPr>
                <w:b/>
              </w:rPr>
            </w:pPr>
          </w:p>
        </w:tc>
        <w:tc>
          <w:tcPr>
            <w:tcW w:w="1361" w:type="dxa"/>
            <w:shd w:val="clear" w:color="auto" w:fill="auto"/>
            <w:vAlign w:val="center"/>
          </w:tcPr>
          <w:p w14:paraId="110FF0AD">
            <w:pPr>
              <w:widowControl/>
              <w:jc w:val="center"/>
              <w:rPr>
                <w:b/>
              </w:rPr>
            </w:pPr>
          </w:p>
        </w:tc>
      </w:tr>
    </w:tbl>
    <w:p w14:paraId="6D58748A">
      <w:pPr>
        <w:jc w:val="center"/>
        <w:rPr>
          <w:b/>
        </w:rPr>
      </w:pPr>
    </w:p>
    <w:p w14:paraId="757BB556">
      <w:pPr>
        <w:jc w:val="left"/>
        <w:rPr>
          <w:b/>
          <w:sz w:val="28"/>
          <w:szCs w:val="28"/>
        </w:rPr>
      </w:pPr>
      <w:r>
        <w:rPr>
          <w:rFonts w:hint="eastAsia"/>
          <w:b/>
          <w:sz w:val="28"/>
          <w:szCs w:val="28"/>
        </w:rPr>
        <w:t>其他说明：无</w:t>
      </w:r>
    </w:p>
    <w:p w14:paraId="25E890F7">
      <w:pPr>
        <w:spacing w:line="360" w:lineRule="auto"/>
        <w:jc w:val="left"/>
        <w:rPr>
          <w:b/>
          <w:sz w:val="28"/>
          <w:szCs w:val="28"/>
        </w:rPr>
      </w:pPr>
      <w:r>
        <w:rPr>
          <w:rFonts w:hint="eastAsia"/>
          <w:b/>
          <w:sz w:val="28"/>
          <w:szCs w:val="28"/>
        </w:rPr>
        <w:t xml:space="preserve">                                                               </w:t>
      </w:r>
    </w:p>
    <w:sectPr>
      <w:footerReference r:id="rId3" w:type="default"/>
      <w:pgSz w:w="16838" w:h="11906" w:orient="landscape"/>
      <w:pgMar w:top="1588" w:right="1440" w:bottom="1191" w:left="1440" w:header="851" w:footer="680"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华文楷体">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6248056"/>
    </w:sdtPr>
    <w:sdtContent>
      <w:sdt>
        <w:sdtPr>
          <w:id w:val="-1669238322"/>
        </w:sdtPr>
        <w:sdtContent>
          <w:p w14:paraId="0D209CB0">
            <w:pPr>
              <w:pStyle w:val="5"/>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w:t>
            </w:r>
            <w:r>
              <w:rPr>
                <w:b/>
                <w:bCs/>
                <w:sz w:val="24"/>
                <w:szCs w:val="24"/>
              </w:rPr>
              <w:fldChar w:fldCharType="end"/>
            </w:r>
          </w:p>
        </w:sdtContent>
      </w:sdt>
    </w:sdtContent>
  </w:sdt>
  <w:p w14:paraId="3727D13F">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016"/>
    <w:rsid w:val="000336F6"/>
    <w:rsid w:val="00042FB6"/>
    <w:rsid w:val="00056DD6"/>
    <w:rsid w:val="00075968"/>
    <w:rsid w:val="000C09F6"/>
    <w:rsid w:val="000D2640"/>
    <w:rsid w:val="000D56EC"/>
    <w:rsid w:val="000E14A6"/>
    <w:rsid w:val="000E358D"/>
    <w:rsid w:val="00116337"/>
    <w:rsid w:val="00127958"/>
    <w:rsid w:val="0013448B"/>
    <w:rsid w:val="001575DA"/>
    <w:rsid w:val="00174F76"/>
    <w:rsid w:val="00255021"/>
    <w:rsid w:val="00272739"/>
    <w:rsid w:val="00284744"/>
    <w:rsid w:val="002B1F44"/>
    <w:rsid w:val="002C0695"/>
    <w:rsid w:val="002D203E"/>
    <w:rsid w:val="00300760"/>
    <w:rsid w:val="003049F7"/>
    <w:rsid w:val="003139E5"/>
    <w:rsid w:val="00314CA3"/>
    <w:rsid w:val="00335BB3"/>
    <w:rsid w:val="003540C4"/>
    <w:rsid w:val="00362D98"/>
    <w:rsid w:val="003945AE"/>
    <w:rsid w:val="003B1445"/>
    <w:rsid w:val="003B555F"/>
    <w:rsid w:val="003F7B94"/>
    <w:rsid w:val="00400B04"/>
    <w:rsid w:val="00415381"/>
    <w:rsid w:val="00435869"/>
    <w:rsid w:val="00447C15"/>
    <w:rsid w:val="0045012D"/>
    <w:rsid w:val="00460091"/>
    <w:rsid w:val="00482F39"/>
    <w:rsid w:val="00490DCE"/>
    <w:rsid w:val="004A17A4"/>
    <w:rsid w:val="004B1DF0"/>
    <w:rsid w:val="004F3835"/>
    <w:rsid w:val="00514257"/>
    <w:rsid w:val="0051607F"/>
    <w:rsid w:val="00574480"/>
    <w:rsid w:val="00582EB4"/>
    <w:rsid w:val="005A4DF7"/>
    <w:rsid w:val="005B0802"/>
    <w:rsid w:val="005E27F9"/>
    <w:rsid w:val="005E44B6"/>
    <w:rsid w:val="005E5E1D"/>
    <w:rsid w:val="005F2563"/>
    <w:rsid w:val="00606833"/>
    <w:rsid w:val="00655ADD"/>
    <w:rsid w:val="006D28A8"/>
    <w:rsid w:val="006D59B2"/>
    <w:rsid w:val="006F0EA9"/>
    <w:rsid w:val="00703812"/>
    <w:rsid w:val="00712A8C"/>
    <w:rsid w:val="007132D9"/>
    <w:rsid w:val="007516C1"/>
    <w:rsid w:val="007706B7"/>
    <w:rsid w:val="00774FA8"/>
    <w:rsid w:val="00784E31"/>
    <w:rsid w:val="007A7811"/>
    <w:rsid w:val="007B26EB"/>
    <w:rsid w:val="007B5463"/>
    <w:rsid w:val="007C3BBF"/>
    <w:rsid w:val="00870217"/>
    <w:rsid w:val="00870A65"/>
    <w:rsid w:val="008873A5"/>
    <w:rsid w:val="008A6E6A"/>
    <w:rsid w:val="008C5BEF"/>
    <w:rsid w:val="008C639E"/>
    <w:rsid w:val="008E2F08"/>
    <w:rsid w:val="009001D6"/>
    <w:rsid w:val="00924D30"/>
    <w:rsid w:val="0092667C"/>
    <w:rsid w:val="00934C3A"/>
    <w:rsid w:val="00973F4D"/>
    <w:rsid w:val="00A204EF"/>
    <w:rsid w:val="00A26F98"/>
    <w:rsid w:val="00A37598"/>
    <w:rsid w:val="00A473A6"/>
    <w:rsid w:val="00AA0C74"/>
    <w:rsid w:val="00AE746F"/>
    <w:rsid w:val="00B04F33"/>
    <w:rsid w:val="00B43EA1"/>
    <w:rsid w:val="00B94BCF"/>
    <w:rsid w:val="00BE23B9"/>
    <w:rsid w:val="00C13AEE"/>
    <w:rsid w:val="00C37030"/>
    <w:rsid w:val="00C827B4"/>
    <w:rsid w:val="00CA3C75"/>
    <w:rsid w:val="00CA7864"/>
    <w:rsid w:val="00CE1292"/>
    <w:rsid w:val="00CF0DE6"/>
    <w:rsid w:val="00D42F8D"/>
    <w:rsid w:val="00D67C94"/>
    <w:rsid w:val="00D97439"/>
    <w:rsid w:val="00DA31E8"/>
    <w:rsid w:val="00DB2AED"/>
    <w:rsid w:val="00DB3770"/>
    <w:rsid w:val="00E05712"/>
    <w:rsid w:val="00E62B5A"/>
    <w:rsid w:val="00E93193"/>
    <w:rsid w:val="00EA15C6"/>
    <w:rsid w:val="00EB0DCC"/>
    <w:rsid w:val="00ED5016"/>
    <w:rsid w:val="00EE61BC"/>
    <w:rsid w:val="00EF5D6A"/>
    <w:rsid w:val="00F5211D"/>
    <w:rsid w:val="00F73ACD"/>
    <w:rsid w:val="00F86D48"/>
    <w:rsid w:val="01BE5667"/>
    <w:rsid w:val="024E0209"/>
    <w:rsid w:val="02D05560"/>
    <w:rsid w:val="03DF4F37"/>
    <w:rsid w:val="04BA44CE"/>
    <w:rsid w:val="04BE551A"/>
    <w:rsid w:val="0680559E"/>
    <w:rsid w:val="07231939"/>
    <w:rsid w:val="077D0034"/>
    <w:rsid w:val="07A6656A"/>
    <w:rsid w:val="07DB6591"/>
    <w:rsid w:val="083A4A47"/>
    <w:rsid w:val="085D6DB7"/>
    <w:rsid w:val="08960370"/>
    <w:rsid w:val="08BA49DD"/>
    <w:rsid w:val="08BD6586"/>
    <w:rsid w:val="090C534E"/>
    <w:rsid w:val="0AAA2B3A"/>
    <w:rsid w:val="0BCB1B82"/>
    <w:rsid w:val="0EBE6BB4"/>
    <w:rsid w:val="104C561C"/>
    <w:rsid w:val="120854E2"/>
    <w:rsid w:val="12CA0621"/>
    <w:rsid w:val="13CD1443"/>
    <w:rsid w:val="143D1E70"/>
    <w:rsid w:val="14C64A14"/>
    <w:rsid w:val="16571DC8"/>
    <w:rsid w:val="16781D3E"/>
    <w:rsid w:val="17D055F0"/>
    <w:rsid w:val="180C6BE2"/>
    <w:rsid w:val="18652FC2"/>
    <w:rsid w:val="1A4A57A0"/>
    <w:rsid w:val="1AEE0821"/>
    <w:rsid w:val="1B2A3322"/>
    <w:rsid w:val="1D7E6BBC"/>
    <w:rsid w:val="1ED90DF6"/>
    <w:rsid w:val="1F6631B3"/>
    <w:rsid w:val="208A4EA9"/>
    <w:rsid w:val="213B2D62"/>
    <w:rsid w:val="227669F6"/>
    <w:rsid w:val="2573204F"/>
    <w:rsid w:val="265B5FD7"/>
    <w:rsid w:val="280C3C41"/>
    <w:rsid w:val="281F64BE"/>
    <w:rsid w:val="28321D4D"/>
    <w:rsid w:val="288F719F"/>
    <w:rsid w:val="2919115F"/>
    <w:rsid w:val="29AE5D4B"/>
    <w:rsid w:val="2DD9710F"/>
    <w:rsid w:val="31350B00"/>
    <w:rsid w:val="31462D0D"/>
    <w:rsid w:val="3C5B588C"/>
    <w:rsid w:val="3C8F39B0"/>
    <w:rsid w:val="3DD8321C"/>
    <w:rsid w:val="3E4C1633"/>
    <w:rsid w:val="3EF35859"/>
    <w:rsid w:val="43B060F0"/>
    <w:rsid w:val="43C82A61"/>
    <w:rsid w:val="44A518EC"/>
    <w:rsid w:val="45F607E6"/>
    <w:rsid w:val="48FA020D"/>
    <w:rsid w:val="493027F1"/>
    <w:rsid w:val="49747076"/>
    <w:rsid w:val="4A5166FB"/>
    <w:rsid w:val="4A7B3E41"/>
    <w:rsid w:val="4B29302C"/>
    <w:rsid w:val="4B6B4C49"/>
    <w:rsid w:val="4B704027"/>
    <w:rsid w:val="50FB3D83"/>
    <w:rsid w:val="51303345"/>
    <w:rsid w:val="52A40FF2"/>
    <w:rsid w:val="54AE6FC2"/>
    <w:rsid w:val="5A157032"/>
    <w:rsid w:val="5B7179CB"/>
    <w:rsid w:val="5C3C317D"/>
    <w:rsid w:val="5FCE1C8D"/>
    <w:rsid w:val="607D37A6"/>
    <w:rsid w:val="631F0B45"/>
    <w:rsid w:val="64243F39"/>
    <w:rsid w:val="6678442C"/>
    <w:rsid w:val="682E182A"/>
    <w:rsid w:val="6A317D79"/>
    <w:rsid w:val="6A48091F"/>
    <w:rsid w:val="6A5B692F"/>
    <w:rsid w:val="6B38054A"/>
    <w:rsid w:val="6BFC3B8E"/>
    <w:rsid w:val="717A163C"/>
    <w:rsid w:val="719C5A56"/>
    <w:rsid w:val="73775283"/>
    <w:rsid w:val="739F538A"/>
    <w:rsid w:val="77550873"/>
    <w:rsid w:val="7B2F3497"/>
    <w:rsid w:val="7B4C1F51"/>
    <w:rsid w:val="7EBA64E2"/>
    <w:rsid w:val="7FCC57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14"/>
    <w:qFormat/>
    <w:uiPriority w:val="0"/>
    <w:pPr>
      <w:keepNext/>
      <w:keepLines/>
      <w:spacing w:before="260" w:after="260" w:line="413" w:lineRule="auto"/>
      <w:outlineLvl w:val="2"/>
    </w:pPr>
    <w:rPr>
      <w:rFonts w:ascii="Times New Roman" w:hAnsi="Times New Roman" w:eastAsia="宋体" w:cs="Times New Roman"/>
      <w:b/>
      <w:sz w:val="32"/>
      <w:szCs w:val="24"/>
    </w:rPr>
  </w:style>
  <w:style w:type="character" w:default="1" w:styleId="9">
    <w:name w:val="Default Paragraph Font"/>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5"/>
    <w:qFormat/>
    <w:uiPriority w:val="1"/>
    <w:pPr>
      <w:autoSpaceDE w:val="0"/>
      <w:autoSpaceDN w:val="0"/>
      <w:spacing w:before="181"/>
      <w:ind w:left="112"/>
      <w:jc w:val="left"/>
    </w:pPr>
    <w:rPr>
      <w:rFonts w:ascii="微软雅黑" w:hAnsi="微软雅黑" w:eastAsia="微软雅黑" w:cs="微软雅黑"/>
      <w:kern w:val="0"/>
      <w:sz w:val="24"/>
      <w:szCs w:val="24"/>
      <w:lang w:val="zh-CN" w:bidi="zh-CN"/>
    </w:rPr>
  </w:style>
  <w:style w:type="paragraph" w:styleId="4">
    <w:name w:val="Balloon Text"/>
    <w:basedOn w:val="1"/>
    <w:link w:val="16"/>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22"/>
    <w:rPr>
      <w:b/>
    </w:rPr>
  </w:style>
  <w:style w:type="character" w:customStyle="1" w:styleId="11">
    <w:name w:val="页眉 字符"/>
    <w:basedOn w:val="9"/>
    <w:link w:val="6"/>
    <w:qFormat/>
    <w:uiPriority w:val="99"/>
    <w:rPr>
      <w:sz w:val="18"/>
      <w:szCs w:val="18"/>
    </w:rPr>
  </w:style>
  <w:style w:type="character" w:customStyle="1" w:styleId="12">
    <w:name w:val="页脚 字符"/>
    <w:basedOn w:val="9"/>
    <w:link w:val="5"/>
    <w:qFormat/>
    <w:uiPriority w:val="99"/>
    <w:rPr>
      <w:sz w:val="18"/>
      <w:szCs w:val="18"/>
    </w:rPr>
  </w:style>
  <w:style w:type="paragraph" w:styleId="13">
    <w:name w:val="List Paragraph"/>
    <w:basedOn w:val="1"/>
    <w:qFormat/>
    <w:uiPriority w:val="34"/>
    <w:pPr>
      <w:ind w:firstLine="420" w:firstLineChars="200"/>
    </w:pPr>
  </w:style>
  <w:style w:type="character" w:customStyle="1" w:styleId="14">
    <w:name w:val="标题 3 字符"/>
    <w:basedOn w:val="9"/>
    <w:link w:val="2"/>
    <w:qFormat/>
    <w:uiPriority w:val="0"/>
    <w:rPr>
      <w:rFonts w:ascii="Times New Roman" w:hAnsi="Times New Roman" w:eastAsia="宋体" w:cs="Times New Roman"/>
      <w:b/>
      <w:sz w:val="32"/>
      <w:szCs w:val="24"/>
    </w:rPr>
  </w:style>
  <w:style w:type="character" w:customStyle="1" w:styleId="15">
    <w:name w:val="正文文本 字符"/>
    <w:basedOn w:val="9"/>
    <w:link w:val="3"/>
    <w:qFormat/>
    <w:uiPriority w:val="1"/>
    <w:rPr>
      <w:rFonts w:ascii="微软雅黑" w:hAnsi="微软雅黑" w:eastAsia="微软雅黑" w:cs="微软雅黑"/>
      <w:kern w:val="0"/>
      <w:sz w:val="24"/>
      <w:szCs w:val="24"/>
      <w:lang w:val="zh-CN" w:bidi="zh-CN"/>
    </w:rPr>
  </w:style>
  <w:style w:type="character" w:customStyle="1" w:styleId="16">
    <w:name w:val="批注框文本 字符"/>
    <w:basedOn w:val="9"/>
    <w:link w:val="4"/>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5C68F-5E77-4E36-B6ED-247EAF55C5E4}">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10</Pages>
  <Words>325</Words>
  <Characters>361</Characters>
  <Lines>120</Lines>
  <Paragraphs>80</Paragraphs>
  <TotalTime>2</TotalTime>
  <ScaleCrop>false</ScaleCrop>
  <LinksUpToDate>false</LinksUpToDate>
  <CharactersWithSpaces>383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2026-01-28T04:17:00Z</dcterms:created>
  <dc:creator>freeuser</dc:creator>
  <cp:lastModifiedBy>Lc</cp:lastModifiedBy>
  <cp:lastPrinted>2024-12-10T03:45:00Z</cp:lastPrinted>
  <dcterms:modified xsi:type="dcterms:W3CDTF">2026-08-03T06:32:02Z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C00BD4185CCA4FCD89C81A6F669EC2B7_13</vt:lpwstr>
  </property>
  <property fmtid="{D5CDD505-2E9C-101B-9397-08002B2CF9AE}" pid="4" name="KSOTemplateDocerSaveRecord">
    <vt:lpwstr>eyJoZGlkIjoiMWQxNGFlZTZjZDRmMDg1OWE5N2NhZTAxZTU4NzcxMjkiLCJ1c2VySWQiOiI5NzQzMDM5MTEifQ==</vt:lpwstr>
  </property>
</Properties>
</file>