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A9394">
      <w:pPr>
        <w:jc w:val="center"/>
        <w:rPr>
          <w:b/>
          <w:spacing w:val="320"/>
          <w:sz w:val="36"/>
          <w:szCs w:val="36"/>
        </w:rPr>
      </w:pPr>
    </w:p>
    <w:p w14:paraId="5F798484">
      <w:pPr>
        <w:jc w:val="center"/>
        <w:rPr>
          <w:b/>
          <w:spacing w:val="320"/>
          <w:sz w:val="36"/>
          <w:szCs w:val="36"/>
        </w:rPr>
      </w:pPr>
    </w:p>
    <w:p w14:paraId="7F53D734">
      <w:pPr>
        <w:spacing w:line="360" w:lineRule="exact"/>
        <w:ind w:right="960"/>
        <w:rPr>
          <w:rFonts w:hint="eastAsia" w:cs="华文楷体" w:asciiTheme="minorEastAsia" w:hAnsiTheme="minorEastAsia"/>
          <w:bCs/>
          <w:sz w:val="24"/>
        </w:rPr>
      </w:pPr>
      <w:r>
        <w:rPr>
          <w:rFonts w:hint="eastAsia" w:cs="华文楷体" w:asciiTheme="minorEastAsia" w:hAnsiTheme="minorEastAsia"/>
          <w:bCs/>
          <w:sz w:val="24"/>
        </w:rPr>
        <w:t>编号：</w:t>
      </w:r>
    </w:p>
    <w:p w14:paraId="5D4D1E1F">
      <w:pPr>
        <w:spacing w:line="360" w:lineRule="exact"/>
        <w:jc w:val="left"/>
        <w:rPr>
          <w:rFonts w:hint="eastAsia" w:cs="华文楷体" w:asciiTheme="minorEastAsia" w:hAnsiTheme="minorEastAsia"/>
          <w:bCs/>
          <w:sz w:val="24"/>
        </w:rPr>
      </w:pPr>
      <w:r>
        <w:rPr>
          <w:rFonts w:hint="eastAsia" w:cs="华文楷体" w:asciiTheme="minorEastAsia" w:hAnsiTheme="minorEastAsia"/>
          <w:bCs/>
          <w:sz w:val="24"/>
        </w:rPr>
        <w:t>说明</w:t>
      </w:r>
    </w:p>
    <w:p w14:paraId="39262171">
      <w:pPr>
        <w:spacing w:line="360" w:lineRule="exact"/>
        <w:jc w:val="left"/>
        <w:rPr>
          <w:sz w:val="24"/>
        </w:rPr>
      </w:pPr>
      <w:r>
        <w:rPr>
          <w:rFonts w:hint="eastAsia" w:cs="华文楷体" w:asciiTheme="minorEastAsia" w:hAnsiTheme="minorEastAsia"/>
          <w:bCs/>
          <w:sz w:val="24"/>
        </w:rPr>
        <w:t>1.  家具须为</w:t>
      </w:r>
      <w:r>
        <w:rPr>
          <w:rFonts w:hint="eastAsia" w:cs="华文楷体" w:asciiTheme="minorEastAsia" w:hAnsiTheme="minorEastAsia"/>
          <w:b/>
          <w:bCs/>
          <w:sz w:val="24"/>
        </w:rPr>
        <w:t>新品</w:t>
      </w:r>
      <w:r>
        <w:rPr>
          <w:rFonts w:hint="eastAsia" w:cs="华文楷体" w:asciiTheme="minorEastAsia" w:hAnsiTheme="minorEastAsia"/>
          <w:bCs/>
          <w:sz w:val="24"/>
        </w:rPr>
        <w:t>，相关的配套附件质量优良，数量齐全。</w:t>
      </w:r>
    </w:p>
    <w:p w14:paraId="1279A7EA">
      <w:pPr>
        <w:spacing w:line="360" w:lineRule="exact"/>
        <w:jc w:val="left"/>
        <w:rPr>
          <w:sz w:val="24"/>
        </w:rPr>
      </w:pPr>
      <w:r>
        <w:rPr>
          <w:rFonts w:hint="eastAsia"/>
          <w:sz w:val="24"/>
        </w:rPr>
        <w:t>2.</w:t>
      </w:r>
      <w:r>
        <w:rPr>
          <w:rFonts w:hint="eastAsia"/>
          <w:b/>
          <w:sz w:val="24"/>
        </w:rPr>
        <w:t xml:space="preserve">  响应价格</w:t>
      </w:r>
      <w:r>
        <w:rPr>
          <w:rFonts w:hint="eastAsia"/>
          <w:sz w:val="24"/>
        </w:rPr>
        <w:t>，应报家具送到的实际交货地（校内指定地点）的价格，包括运保费、税费、材料费、装卸费、安装费等所有费用。</w:t>
      </w:r>
    </w:p>
    <w:p w14:paraId="2BE5CD9B">
      <w:pPr>
        <w:spacing w:line="360" w:lineRule="exact"/>
        <w:ind w:left="425" w:hanging="424" w:hangingChars="177"/>
        <w:jc w:val="left"/>
        <w:rPr>
          <w:sz w:val="24"/>
        </w:rPr>
      </w:pPr>
      <w:r>
        <w:rPr>
          <w:rFonts w:hint="eastAsia"/>
          <w:sz w:val="24"/>
        </w:rPr>
        <w:t>3.  因家具配置的不完整或质量不合格所带来的无法验收而致使的退货等所有费用由供方负责。</w:t>
      </w:r>
    </w:p>
    <w:p w14:paraId="7E75E84F">
      <w:pPr>
        <w:spacing w:line="360" w:lineRule="exact"/>
        <w:jc w:val="left"/>
        <w:rPr>
          <w:b/>
          <w:sz w:val="28"/>
          <w:szCs w:val="28"/>
        </w:rPr>
      </w:pPr>
      <w:r>
        <w:rPr>
          <w:rFonts w:hint="eastAsia"/>
          <w:sz w:val="24"/>
        </w:rPr>
        <w:t>4.  付款方式</w:t>
      </w:r>
      <w:r>
        <w:rPr>
          <w:rFonts w:hint="eastAsia"/>
          <w:b/>
          <w:sz w:val="28"/>
          <w:szCs w:val="28"/>
        </w:rPr>
        <w:t>：</w:t>
      </w:r>
      <w:r>
        <w:rPr>
          <w:rFonts w:hint="eastAsia"/>
          <w:sz w:val="24"/>
        </w:rPr>
        <w:t>家具</w:t>
      </w:r>
      <w:r>
        <w:rPr>
          <w:sz w:val="24"/>
        </w:rPr>
        <w:t>验收合格后支付合同总额的</w:t>
      </w:r>
      <w:r>
        <w:rPr>
          <w:rFonts w:hint="eastAsia"/>
          <w:b/>
          <w:sz w:val="24"/>
        </w:rPr>
        <w:t>100</w:t>
      </w:r>
      <w:r>
        <w:rPr>
          <w:b/>
          <w:sz w:val="24"/>
        </w:rPr>
        <w:t>%</w:t>
      </w:r>
      <w:r>
        <w:rPr>
          <w:rFonts w:hint="eastAsia"/>
          <w:sz w:val="24"/>
        </w:rPr>
        <w:t>。</w:t>
      </w:r>
    </w:p>
    <w:p w14:paraId="6F46341A">
      <w:pPr>
        <w:spacing w:line="360" w:lineRule="exact"/>
        <w:jc w:val="left"/>
        <w:rPr>
          <w:sz w:val="24"/>
        </w:rPr>
      </w:pPr>
      <w:r>
        <w:rPr>
          <w:rFonts w:hint="eastAsia"/>
          <w:sz w:val="24"/>
        </w:rPr>
        <w:t>5.  质保期：不少于</w:t>
      </w:r>
      <w:r>
        <w:rPr>
          <w:rFonts w:hint="eastAsia"/>
          <w:b/>
          <w:sz w:val="24"/>
        </w:rPr>
        <w:t>7年</w:t>
      </w:r>
      <w:r>
        <w:rPr>
          <w:rFonts w:hint="eastAsia"/>
          <w:sz w:val="24"/>
        </w:rPr>
        <w:t xml:space="preserve">。 </w:t>
      </w:r>
    </w:p>
    <w:p w14:paraId="7A7CAB3E">
      <w:pPr>
        <w:spacing w:line="360" w:lineRule="exact"/>
        <w:jc w:val="left"/>
        <w:rPr>
          <w:b/>
          <w:sz w:val="28"/>
          <w:szCs w:val="28"/>
        </w:rPr>
      </w:pPr>
      <w:r>
        <w:rPr>
          <w:rFonts w:hint="eastAsia"/>
          <w:sz w:val="24"/>
        </w:rPr>
        <w:t>6</w:t>
      </w:r>
      <w:r>
        <w:rPr>
          <w:sz w:val="24"/>
        </w:rPr>
        <w:t>.</w:t>
      </w:r>
      <w:bookmarkStart w:id="0" w:name="OLE_LINK1"/>
      <w:r>
        <w:rPr>
          <w:sz w:val="24"/>
        </w:rPr>
        <w:t xml:space="preserve">  </w:t>
      </w:r>
      <w:bookmarkEnd w:id="0"/>
      <w:r>
        <w:rPr>
          <w:rFonts w:hint="eastAsia"/>
          <w:sz w:val="24"/>
        </w:rPr>
        <w:t>响应文件密封后2026年</w:t>
      </w:r>
      <w:r>
        <w:rPr>
          <w:rFonts w:hint="eastAsia"/>
          <w:sz w:val="24"/>
          <w:lang w:val="en-US" w:eastAsia="zh-CN"/>
        </w:rPr>
        <w:t>9</w:t>
      </w:r>
      <w:r>
        <w:rPr>
          <w:rFonts w:hint="eastAsia"/>
          <w:sz w:val="24"/>
        </w:rPr>
        <w:t>月</w:t>
      </w:r>
      <w:r>
        <w:rPr>
          <w:rFonts w:hint="eastAsia"/>
          <w:sz w:val="24"/>
          <w:lang w:val="en-US" w:eastAsia="zh-CN"/>
        </w:rPr>
        <w:t>3</w:t>
      </w:r>
      <w:r>
        <w:rPr>
          <w:rFonts w:hint="eastAsia"/>
          <w:sz w:val="24"/>
        </w:rPr>
        <w:t>日16点前送到江苏师范大学泉山校区化学与分子工程学院，联系人：邢老师，电话：15927393389。</w:t>
      </w:r>
    </w:p>
    <w:p w14:paraId="7D278FDA">
      <w:pPr>
        <w:pStyle w:val="3"/>
        <w:spacing w:before="144"/>
        <w:ind w:left="0"/>
        <w:rPr>
          <w:rFonts w:asciiTheme="minorHAnsi" w:hAnsiTheme="minorHAnsi" w:eastAsiaTheme="minorEastAsia" w:cstheme="minorBidi"/>
          <w:kern w:val="2"/>
          <w:szCs w:val="22"/>
          <w:lang w:val="en-US" w:bidi="ar-SA"/>
        </w:rPr>
      </w:pPr>
      <w:r>
        <w:rPr>
          <w:rFonts w:hint="eastAsia" w:asciiTheme="minorHAnsi" w:hAnsiTheme="minorHAnsi" w:eastAsiaTheme="minorEastAsia" w:cstheme="minorBidi"/>
          <w:kern w:val="2"/>
          <w:szCs w:val="22"/>
          <w:lang w:val="en-US" w:bidi="ar-SA"/>
        </w:rPr>
        <w:t>7.  投标时须提供一桌1椅（培训桌1张、椅子1把）的样品，颜色自定否侧视为投标无效。</w:t>
      </w:r>
    </w:p>
    <w:p w14:paraId="3F3C7DF4">
      <w:pPr>
        <w:pStyle w:val="3"/>
        <w:spacing w:before="144"/>
        <w:ind w:left="0"/>
        <w:rPr>
          <w:rFonts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8.  供货（含安装调试）期：不得晚于2026年9月*日，投标时请明确供货期时间。</w:t>
      </w:r>
    </w:p>
    <w:p w14:paraId="029D35CF">
      <w:pPr>
        <w:pStyle w:val="3"/>
        <w:spacing w:before="144"/>
        <w:ind w:left="0"/>
        <w:rPr>
          <w:rFonts w:asciiTheme="minorHAnsi" w:hAnsiTheme="minorHAnsi" w:eastAsiaTheme="minorEastAsia" w:cstheme="minorBidi"/>
          <w:b/>
          <w:bCs/>
          <w:kern w:val="2"/>
          <w:szCs w:val="22"/>
          <w:lang w:val="en-US" w:bidi="ar-SA"/>
        </w:rPr>
      </w:pPr>
      <w:r>
        <w:rPr>
          <w:rFonts w:hint="eastAsia" w:asciiTheme="minorHAnsi" w:hAnsiTheme="minorHAnsi" w:eastAsiaTheme="minorEastAsia" w:cstheme="minorBidi"/>
          <w:b/>
          <w:bCs/>
          <w:kern w:val="2"/>
          <w:szCs w:val="22"/>
          <w:lang w:val="en-US" w:bidi="ar-SA"/>
        </w:rPr>
        <w:t xml:space="preserve">9.  </w:t>
      </w:r>
      <w:r>
        <w:rPr>
          <w:rFonts w:hint="eastAsia" w:ascii="Times New Roman" w:hAnsi="Times New Roman" w:cs="Times New Roman" w:eastAsiaTheme="minorEastAsia"/>
          <w:lang w:val="en-US"/>
        </w:rPr>
        <w:t>本项目预算总价为7万元（人民币），主材为</w:t>
      </w:r>
      <w:r>
        <w:rPr>
          <w:rFonts w:hint="eastAsia" w:asciiTheme="minorHAnsi" w:hAnsiTheme="minorHAnsi" w:eastAsiaTheme="minorEastAsia" w:cstheme="minorBidi"/>
          <w:kern w:val="2"/>
          <w:szCs w:val="22"/>
          <w:lang w:val="en-US" w:bidi="ar-SA"/>
        </w:rPr>
        <w:t>培训桌椅子</w:t>
      </w:r>
      <w:r>
        <w:rPr>
          <w:rFonts w:hint="eastAsia" w:ascii="Times New Roman" w:hAnsi="Times New Roman" w:cs="Times New Roman" w:eastAsiaTheme="minorEastAsia"/>
          <w:lang w:val="en-US"/>
        </w:rPr>
        <w:t>。</w:t>
      </w:r>
    </w:p>
    <w:p w14:paraId="5CFB5177">
      <w:pPr>
        <w:pStyle w:val="3"/>
        <w:spacing w:before="144"/>
        <w:rPr>
          <w:rFonts w:hint="eastAsia"/>
          <w:b/>
          <w:sz w:val="28"/>
          <w:szCs w:val="28"/>
        </w:rPr>
      </w:pPr>
    </w:p>
    <w:p w14:paraId="75376984">
      <w:pPr>
        <w:pStyle w:val="3"/>
        <w:spacing w:before="144"/>
        <w:rPr>
          <w:rFonts w:hint="eastAsia"/>
          <w:b/>
          <w:sz w:val="28"/>
          <w:szCs w:val="28"/>
        </w:rPr>
      </w:pPr>
    </w:p>
    <w:p w14:paraId="30712104">
      <w:pPr>
        <w:pStyle w:val="3"/>
        <w:spacing w:before="144"/>
        <w:rPr>
          <w:rFonts w:hint="eastAsia"/>
          <w:b/>
          <w:sz w:val="28"/>
          <w:szCs w:val="28"/>
        </w:rPr>
      </w:pPr>
    </w:p>
    <w:p w14:paraId="7F0C67AC">
      <w:pPr>
        <w:pStyle w:val="3"/>
        <w:spacing w:before="144"/>
        <w:rPr>
          <w:rFonts w:hint="eastAsia"/>
          <w:b/>
          <w:sz w:val="28"/>
          <w:szCs w:val="28"/>
        </w:rPr>
      </w:pPr>
      <w:bookmarkStart w:id="1" w:name="_GoBack"/>
      <w:bookmarkEnd w:id="1"/>
    </w:p>
    <w:p w14:paraId="19F22DCB">
      <w:pPr>
        <w:pStyle w:val="3"/>
        <w:spacing w:before="144"/>
        <w:ind w:left="0"/>
        <w:rPr>
          <w:rFonts w:hint="eastAsia" w:ascii="宋体" w:hAnsi="宋体" w:eastAsia="宋体" w:cs="宋体"/>
          <w:b/>
          <w:sz w:val="28"/>
          <w:szCs w:val="28"/>
        </w:rPr>
      </w:pPr>
      <w:r>
        <w:rPr>
          <w:rFonts w:hint="eastAsia" w:ascii="宋体" w:hAnsi="宋体" w:eastAsia="宋体" w:cs="宋体"/>
          <w:b/>
          <w:sz w:val="28"/>
          <w:szCs w:val="28"/>
        </w:rPr>
        <w:t>需方参数需求：</w:t>
      </w:r>
    </w:p>
    <w:tbl>
      <w:tblPr>
        <w:tblStyle w:val="7"/>
        <w:tblW w:w="13740" w:type="dxa"/>
        <w:jc w:val="center"/>
        <w:tblLayout w:type="autofit"/>
        <w:tblCellMar>
          <w:top w:w="0" w:type="dxa"/>
          <w:left w:w="108" w:type="dxa"/>
          <w:bottom w:w="0" w:type="dxa"/>
          <w:right w:w="108" w:type="dxa"/>
        </w:tblCellMar>
      </w:tblPr>
      <w:tblGrid>
        <w:gridCol w:w="932"/>
        <w:gridCol w:w="2455"/>
        <w:gridCol w:w="9398"/>
        <w:gridCol w:w="498"/>
        <w:gridCol w:w="457"/>
      </w:tblGrid>
      <w:tr w14:paraId="3135EEC4">
        <w:tblPrEx>
          <w:tblCellMar>
            <w:top w:w="0" w:type="dxa"/>
            <w:left w:w="108" w:type="dxa"/>
            <w:bottom w:w="0" w:type="dxa"/>
            <w:right w:w="108" w:type="dxa"/>
          </w:tblCellMar>
        </w:tblPrEx>
        <w:trPr>
          <w:jc w:val="center"/>
        </w:trPr>
        <w:tc>
          <w:tcPr>
            <w:tcW w:w="0" w:type="auto"/>
            <w:tcBorders>
              <w:top w:val="single" w:color="000000" w:sz="4" w:space="0"/>
              <w:left w:val="nil"/>
              <w:bottom w:val="single" w:color="000000" w:sz="4" w:space="0"/>
              <w:right w:val="nil"/>
            </w:tcBorders>
            <w:shd w:val="clear" w:color="auto" w:fill="C9E4B4"/>
            <w:vAlign w:val="center"/>
          </w:tcPr>
          <w:p w14:paraId="67BB20B3">
            <w:pPr>
              <w:snapToGrid w:val="0"/>
              <w:rPr>
                <w:rFonts w:hint="eastAsia" w:ascii="微软雅黑" w:hAnsi="微软雅黑" w:eastAsia="微软雅黑" w:cs="微软雅黑"/>
                <w:color w:val="000000"/>
                <w:sz w:val="24"/>
                <w:szCs w:val="24"/>
              </w:rPr>
            </w:pPr>
          </w:p>
        </w:tc>
        <w:tc>
          <w:tcPr>
            <w:tcW w:w="0" w:type="auto"/>
            <w:tcBorders>
              <w:top w:val="single" w:color="000000" w:sz="4" w:space="0"/>
              <w:left w:val="nil"/>
              <w:bottom w:val="single" w:color="000000" w:sz="4" w:space="0"/>
              <w:right w:val="nil"/>
            </w:tcBorders>
            <w:shd w:val="clear" w:color="auto" w:fill="C9E4B4"/>
            <w:vAlign w:val="center"/>
          </w:tcPr>
          <w:p w14:paraId="4AB69342">
            <w:pPr>
              <w:snapToGrid w:val="0"/>
              <w:rPr>
                <w:rFonts w:hint="eastAsia" w:ascii="微软雅黑" w:hAnsi="微软雅黑" w:eastAsia="微软雅黑" w:cs="微软雅黑"/>
                <w:color w:val="000000"/>
                <w:sz w:val="24"/>
                <w:szCs w:val="24"/>
              </w:rPr>
            </w:pPr>
          </w:p>
        </w:tc>
        <w:tc>
          <w:tcPr>
            <w:tcW w:w="0" w:type="auto"/>
            <w:tcBorders>
              <w:top w:val="single" w:color="000000" w:sz="4" w:space="0"/>
              <w:left w:val="nil"/>
              <w:bottom w:val="single" w:color="000000" w:sz="4" w:space="0"/>
              <w:right w:val="nil"/>
            </w:tcBorders>
            <w:shd w:val="clear" w:color="auto" w:fill="C9E4B4"/>
            <w:vAlign w:val="center"/>
          </w:tcPr>
          <w:p w14:paraId="0B844B9B">
            <w:pPr>
              <w:snapToGrid w:val="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211</w:t>
            </w:r>
          </w:p>
        </w:tc>
        <w:tc>
          <w:tcPr>
            <w:tcW w:w="0" w:type="auto"/>
            <w:tcBorders>
              <w:top w:val="single" w:color="000000" w:sz="4" w:space="0"/>
              <w:left w:val="nil"/>
              <w:bottom w:val="single" w:color="000000" w:sz="4" w:space="0"/>
              <w:right w:val="nil"/>
            </w:tcBorders>
            <w:shd w:val="clear" w:color="auto" w:fill="C9E4B4"/>
            <w:vAlign w:val="center"/>
          </w:tcPr>
          <w:p w14:paraId="0D095FEF">
            <w:pPr>
              <w:snapToGrid w:val="0"/>
              <w:rPr>
                <w:rFonts w:hint="eastAsia" w:ascii="微软雅黑" w:hAnsi="微软雅黑" w:eastAsia="微软雅黑" w:cs="微软雅黑"/>
                <w:color w:val="000000"/>
                <w:sz w:val="24"/>
                <w:szCs w:val="24"/>
              </w:rPr>
            </w:pPr>
          </w:p>
        </w:tc>
        <w:tc>
          <w:tcPr>
            <w:tcW w:w="457" w:type="dxa"/>
            <w:tcBorders>
              <w:top w:val="single" w:color="000000" w:sz="4" w:space="0"/>
              <w:left w:val="nil"/>
              <w:bottom w:val="single" w:color="000000" w:sz="4" w:space="0"/>
              <w:right w:val="nil"/>
            </w:tcBorders>
            <w:shd w:val="clear" w:color="auto" w:fill="C9E4B4"/>
            <w:vAlign w:val="center"/>
          </w:tcPr>
          <w:p w14:paraId="39FAB2FD">
            <w:pPr>
              <w:snapToGrid w:val="0"/>
              <w:rPr>
                <w:rFonts w:hint="eastAsia" w:ascii="微软雅黑" w:hAnsi="微软雅黑" w:eastAsia="微软雅黑" w:cs="微软雅黑"/>
                <w:color w:val="000000"/>
                <w:sz w:val="24"/>
                <w:szCs w:val="24"/>
              </w:rPr>
            </w:pPr>
          </w:p>
        </w:tc>
      </w:tr>
      <w:tr w14:paraId="53A712F5">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01648D1">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培训桌</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（两人位）</w:t>
            </w:r>
          </w:p>
        </w:tc>
        <w:tc>
          <w:tcPr>
            <w:tcW w:w="0" w:type="auto"/>
            <w:tcBorders>
              <w:top w:val="single" w:color="000000" w:sz="4" w:space="0"/>
              <w:left w:val="single" w:color="000000" w:sz="4" w:space="0"/>
              <w:bottom w:val="single" w:color="000000" w:sz="4" w:space="0"/>
              <w:right w:val="single" w:color="000000" w:sz="4" w:space="0"/>
            </w:tcBorders>
            <w:vAlign w:val="center"/>
          </w:tcPr>
          <w:p w14:paraId="4823EB35">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1200*400*750</w:t>
            </w:r>
          </w:p>
        </w:tc>
        <w:tc>
          <w:tcPr>
            <w:tcW w:w="0" w:type="auto"/>
            <w:tcBorders>
              <w:top w:val="single" w:color="000000" w:sz="4" w:space="0"/>
              <w:left w:val="single" w:color="000000" w:sz="4" w:space="0"/>
              <w:bottom w:val="single" w:color="000000" w:sz="4" w:space="0"/>
              <w:right w:val="single" w:color="000000" w:sz="4" w:space="0"/>
            </w:tcBorders>
            <w:vAlign w:val="center"/>
          </w:tcPr>
          <w:p w14:paraId="48374278">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1、台面：基材采用符合GB 18580-2017 强制要求，甲醛释放量等级达到 GB/T 39600-2021 E0 级(甲醛释放量≤0.050mg/m³)实木多层板，同时满足 GB/T 41715-2022相关要求，无刺激性气味。采用优质知名品牌五金配件。台面厚度≥25mm，板材厚度≥18mm。</w:t>
            </w:r>
          </w:p>
          <w:p w14:paraId="3BC79E63">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2、桌架：采用优质金属管材打造，结构稳固，承重性能优异，符合办公家具安全标准，可满足长期高频次使用需求，无变形、松动隐患。</w:t>
            </w:r>
          </w:p>
          <w:p w14:paraId="39994F61">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3、底脚：采用1.5mm厚冷轧钢板经精密冲压成型，成型规整，无毛刺、无变形，受力均匀，承载力强，有效提升桌架整体稳定性，桌脚配置带刹车静音轮。</w:t>
            </w:r>
          </w:p>
          <w:p w14:paraId="5BA20418">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4、中柱：采用≥60mm×30mm×1.5mm椭圆管厚金属管材，壁厚均匀，强度高、重量轻，表面无划痕、无氧化，耐腐蚀、不易变形。</w:t>
            </w:r>
          </w:p>
          <w:p w14:paraId="4D0ADD76">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5、连接杆：采用≥25mm×50mm×1.5mm金属管材，管材平整，无凹凸、无裂纹，焊接牢固，无虚焊、漏焊、夹渣现象，有效连接各部件，保证桌架结构整体性。</w:t>
            </w:r>
          </w:p>
          <w:p w14:paraId="66F2ABB4">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6、托臂及拉杆：均采用优质金属管材，经阳极氧化处理，表面光滑，硬度高、耐磨、耐腐蚀，尺寸精准，与桌架各部件适配紧密，无松动、异响。</w:t>
            </w:r>
          </w:p>
          <w:p w14:paraId="34A7C20A">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7、前挡板：采用≥1.2mm厚冷轧钢板，冲压成型，边缘光滑无毛刺，安装牢固，可有效保护桌体内部结构，兼具装饰与防护作用。</w:t>
            </w:r>
          </w:p>
          <w:p w14:paraId="3458EA57">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8、书网：采用≥0.8mm厚钢板折弯加固，折弯角度精准，无褶皱、无开裂，承重性能良好，可稳定放置书籍等物品。</w:t>
            </w:r>
          </w:p>
          <w:p w14:paraId="2E819D2A">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9、折叠功能：桌架自带折叠功能，折叠结构设计合理，操作便捷，折叠后占用空间小，展开后锁定牢固，无晃动、异响，折叠连接处耐磨耐用，可反复折叠使用。</w:t>
            </w:r>
          </w:p>
          <w:p w14:paraId="5ABFE703">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10、表面处理：桌架表面采用静电粉末喷涂工艺，喷涂前经除油、除锈、磷化三重预处理，确保涂层附着力强；喷涂厚度为50-60μm保护粉漆，喷涂均匀，无流挂、无气泡、无漏喷现象；经220℃高温烘烤15分钟流平固化，漆面硬度高、耐刮擦、不易脱落，颜色均匀稳定，无褪色、发黄隐患，符合环保标准，无异味。</w:t>
            </w:r>
          </w:p>
        </w:tc>
        <w:tc>
          <w:tcPr>
            <w:tcW w:w="0" w:type="auto"/>
            <w:tcBorders>
              <w:top w:val="single" w:color="000000" w:sz="4" w:space="0"/>
              <w:left w:val="single" w:color="000000" w:sz="4" w:space="0"/>
              <w:bottom w:val="single" w:color="000000" w:sz="4" w:space="0"/>
              <w:right w:val="single" w:color="000000" w:sz="4" w:space="0"/>
            </w:tcBorders>
            <w:vAlign w:val="center"/>
          </w:tcPr>
          <w:p w14:paraId="1C061165">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40</w:t>
            </w:r>
          </w:p>
        </w:tc>
        <w:tc>
          <w:tcPr>
            <w:tcW w:w="457" w:type="dxa"/>
            <w:tcBorders>
              <w:top w:val="single" w:color="000000" w:sz="4" w:space="0"/>
              <w:left w:val="single" w:color="000000" w:sz="4" w:space="0"/>
              <w:bottom w:val="single" w:color="000000" w:sz="4" w:space="0"/>
              <w:right w:val="single" w:color="000000" w:sz="4" w:space="0"/>
            </w:tcBorders>
            <w:vAlign w:val="center"/>
          </w:tcPr>
          <w:p w14:paraId="1CD0B57B">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个</w:t>
            </w:r>
          </w:p>
        </w:tc>
      </w:tr>
      <w:tr w14:paraId="0712B0BB">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06202DCA">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培训椅</w:t>
            </w:r>
          </w:p>
        </w:tc>
        <w:tc>
          <w:tcPr>
            <w:tcW w:w="0" w:type="auto"/>
            <w:tcBorders>
              <w:top w:val="single" w:color="000000" w:sz="4" w:space="0"/>
              <w:left w:val="single" w:color="000000" w:sz="4" w:space="0"/>
              <w:bottom w:val="single" w:color="000000" w:sz="4" w:space="0"/>
              <w:right w:val="single" w:color="000000" w:sz="4" w:space="0"/>
            </w:tcBorders>
            <w:vAlign w:val="center"/>
          </w:tcPr>
          <w:p w14:paraId="1DEF130B">
            <w:pPr>
              <w:snapToGrid w:val="0"/>
              <w:jc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常规</w:t>
            </w:r>
          </w:p>
        </w:tc>
        <w:tc>
          <w:tcPr>
            <w:tcW w:w="0" w:type="auto"/>
            <w:tcBorders>
              <w:top w:val="single" w:color="000000" w:sz="4" w:space="0"/>
              <w:left w:val="single" w:color="000000" w:sz="4" w:space="0"/>
              <w:bottom w:val="single" w:color="000000" w:sz="4" w:space="0"/>
              <w:right w:val="single" w:color="000000" w:sz="4" w:space="0"/>
            </w:tcBorders>
            <w:vAlign w:val="center"/>
          </w:tcPr>
          <w:p w14:paraId="69134D5B">
            <w:pPr>
              <w:widowControl/>
              <w:snapToGrid w:val="0"/>
              <w:jc w:val="center"/>
              <w:textAlignment w:val="center"/>
              <w:rPr>
                <w:rFonts w:hint="eastAsia" w:ascii="微软雅黑" w:hAnsi="微软雅黑" w:eastAsia="微软雅黑" w:cs="微软雅黑"/>
                <w:color w:val="000000"/>
                <w:kern w:val="0"/>
                <w:sz w:val="24"/>
                <w:szCs w:val="24"/>
                <w:lang w:bidi="ar"/>
              </w:rPr>
            </w:pPr>
            <w:r>
              <w:rPr>
                <w:rFonts w:hint="eastAsia" w:ascii="微软雅黑" w:hAnsi="微软雅黑" w:eastAsia="微软雅黑" w:cs="微软雅黑"/>
                <w:color w:val="000000"/>
                <w:kern w:val="0"/>
                <w:sz w:val="24"/>
                <w:szCs w:val="24"/>
                <w:lang w:bidi="ar"/>
              </w:rPr>
              <w:t>1、面料：特网，加尼龙料，弹力加强，耐摩擦１０万次弹力依旧。 三防网布：采用荷叶拒水原理，纳米技术编织，三层结构，中间层双丝结构，防水，防污，阻燃，透气、不易变色、无毒性、环保、经济耐用。</w:t>
            </w:r>
          </w:p>
          <w:p w14:paraId="77541998">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 xml:space="preserve">2、海绵：定型海绵，环保，弹性好，不易变形。硬度65#（单位 度），密度50#（单位 kg/立方米）。                             3、椅架，表面镀铬处理，钢管壁厚不小于2.0mm。    </w:t>
            </w:r>
          </w:p>
        </w:tc>
        <w:tc>
          <w:tcPr>
            <w:tcW w:w="0" w:type="auto"/>
            <w:tcBorders>
              <w:top w:val="single" w:color="000000" w:sz="4" w:space="0"/>
              <w:left w:val="single" w:color="000000" w:sz="4" w:space="0"/>
              <w:bottom w:val="single" w:color="000000" w:sz="4" w:space="0"/>
              <w:right w:val="single" w:color="000000" w:sz="4" w:space="0"/>
            </w:tcBorders>
            <w:vAlign w:val="center"/>
          </w:tcPr>
          <w:p w14:paraId="693CE69A">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90</w:t>
            </w:r>
          </w:p>
        </w:tc>
        <w:tc>
          <w:tcPr>
            <w:tcW w:w="457" w:type="dxa"/>
            <w:tcBorders>
              <w:top w:val="single" w:color="000000" w:sz="4" w:space="0"/>
              <w:left w:val="single" w:color="000000" w:sz="4" w:space="0"/>
              <w:bottom w:val="single" w:color="000000" w:sz="4" w:space="0"/>
              <w:right w:val="single" w:color="000000" w:sz="4" w:space="0"/>
            </w:tcBorders>
            <w:vAlign w:val="center"/>
          </w:tcPr>
          <w:p w14:paraId="3F66E3BB">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把</w:t>
            </w:r>
          </w:p>
        </w:tc>
      </w:tr>
      <w:tr w14:paraId="73B02C1A">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F073A1E">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演讲台</w:t>
            </w:r>
          </w:p>
        </w:tc>
        <w:tc>
          <w:tcPr>
            <w:tcW w:w="0" w:type="auto"/>
            <w:tcBorders>
              <w:top w:val="single" w:color="000000" w:sz="4" w:space="0"/>
              <w:left w:val="single" w:color="000000" w:sz="4" w:space="0"/>
              <w:bottom w:val="single" w:color="000000" w:sz="4" w:space="0"/>
              <w:right w:val="single" w:color="000000" w:sz="4" w:space="0"/>
            </w:tcBorders>
            <w:vAlign w:val="center"/>
          </w:tcPr>
          <w:p w14:paraId="18F98510">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W600*D560*H1000</w:t>
            </w:r>
          </w:p>
        </w:tc>
        <w:tc>
          <w:tcPr>
            <w:tcW w:w="0" w:type="auto"/>
            <w:tcBorders>
              <w:top w:val="single" w:color="000000" w:sz="4" w:space="0"/>
              <w:left w:val="single" w:color="000000" w:sz="4" w:space="0"/>
              <w:bottom w:val="single" w:color="000000" w:sz="4" w:space="0"/>
              <w:right w:val="single" w:color="000000" w:sz="4" w:space="0"/>
            </w:tcBorders>
            <w:vAlign w:val="center"/>
          </w:tcPr>
          <w:p w14:paraId="0B14401D">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1、台面：基材采用符合GB 18580-2017 强制要求，甲醛释放量等级达到 GB/T 39600-2021 E0 级(甲醛释放量≤0.050mg/m³)实木多层板，同时满足 GB/T 41715-2022相关要求，无刺激性气味。采用优质知名品牌五金配件。台面厚度≥25mm，板材厚度≥18mm。</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2、封边：板材四边采用≥1.5mm厚PVC封边条，封边无缝隙，抗高低温性能良好，无脱胶、开裂现象；封边条需符合QB/T4463-2025标准。</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3、桌架：标准桌架采用优质钢材制作，底脚为≥2.0mm冷轧钢板拉伸成型，与≥60mm×60mm×1.2mm冷轧管连接；上挡板为≥1.0mm冷轧钢板，下挡板为≥0.8mm冷轧钢板，配备壁厚≥0.8mm的钢制书网。</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4、脚轮：配置带刹车静音脚轮，移动过程无明显噪音，使用顺畅稳定。</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5、尺寸：长度600mm，宽度560mm，高度1000mm。</w:t>
            </w:r>
          </w:p>
        </w:tc>
        <w:tc>
          <w:tcPr>
            <w:tcW w:w="0" w:type="auto"/>
            <w:tcBorders>
              <w:top w:val="single" w:color="000000" w:sz="4" w:space="0"/>
              <w:left w:val="single" w:color="000000" w:sz="4" w:space="0"/>
              <w:bottom w:val="single" w:color="000000" w:sz="4" w:space="0"/>
              <w:right w:val="single" w:color="000000" w:sz="4" w:space="0"/>
            </w:tcBorders>
            <w:vAlign w:val="center"/>
          </w:tcPr>
          <w:p w14:paraId="6D3281D2">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w:t>
            </w:r>
          </w:p>
        </w:tc>
        <w:tc>
          <w:tcPr>
            <w:tcW w:w="457" w:type="dxa"/>
            <w:tcBorders>
              <w:top w:val="single" w:color="000000" w:sz="4" w:space="0"/>
              <w:left w:val="single" w:color="000000" w:sz="4" w:space="0"/>
              <w:bottom w:val="single" w:color="000000" w:sz="4" w:space="0"/>
              <w:right w:val="single" w:color="000000" w:sz="4" w:space="0"/>
            </w:tcBorders>
            <w:vAlign w:val="center"/>
          </w:tcPr>
          <w:p w14:paraId="6CE963B6">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个</w:t>
            </w:r>
          </w:p>
        </w:tc>
      </w:tr>
      <w:tr w14:paraId="2A47EBCF">
        <w:tblPrEx>
          <w:tblCellMar>
            <w:top w:w="0" w:type="dxa"/>
            <w:left w:w="108" w:type="dxa"/>
            <w:bottom w:w="0" w:type="dxa"/>
            <w:right w:w="108" w:type="dxa"/>
          </w:tblCellMar>
        </w:tblPrEx>
        <w:trPr>
          <w:jc w:val="center"/>
        </w:trPr>
        <w:tc>
          <w:tcPr>
            <w:tcW w:w="0" w:type="auto"/>
            <w:tcBorders>
              <w:top w:val="single" w:color="000000" w:sz="4" w:space="0"/>
              <w:left w:val="nil"/>
              <w:bottom w:val="single" w:color="000000" w:sz="4" w:space="0"/>
              <w:right w:val="nil"/>
            </w:tcBorders>
            <w:shd w:val="clear" w:color="auto" w:fill="ADD88D"/>
            <w:vAlign w:val="center"/>
          </w:tcPr>
          <w:p w14:paraId="73E268A2">
            <w:pPr>
              <w:snapToGrid w:val="0"/>
              <w:rPr>
                <w:rFonts w:hint="eastAsia" w:ascii="微软雅黑" w:hAnsi="微软雅黑" w:eastAsia="微软雅黑" w:cs="微软雅黑"/>
                <w:color w:val="000000"/>
                <w:sz w:val="24"/>
                <w:szCs w:val="24"/>
              </w:rPr>
            </w:pPr>
          </w:p>
        </w:tc>
        <w:tc>
          <w:tcPr>
            <w:tcW w:w="0" w:type="auto"/>
            <w:tcBorders>
              <w:top w:val="single" w:color="000000" w:sz="4" w:space="0"/>
              <w:left w:val="nil"/>
              <w:bottom w:val="single" w:color="000000" w:sz="4" w:space="0"/>
              <w:right w:val="nil"/>
            </w:tcBorders>
            <w:shd w:val="clear" w:color="auto" w:fill="ADD88D"/>
            <w:vAlign w:val="center"/>
          </w:tcPr>
          <w:p w14:paraId="079BF9A4">
            <w:pPr>
              <w:snapToGrid w:val="0"/>
              <w:rPr>
                <w:rFonts w:hint="eastAsia" w:ascii="微软雅黑" w:hAnsi="微软雅黑" w:eastAsia="微软雅黑" w:cs="微软雅黑"/>
                <w:color w:val="000000"/>
                <w:sz w:val="24"/>
                <w:szCs w:val="24"/>
              </w:rPr>
            </w:pPr>
          </w:p>
        </w:tc>
        <w:tc>
          <w:tcPr>
            <w:tcW w:w="0" w:type="auto"/>
            <w:tcBorders>
              <w:top w:val="single" w:color="000000" w:sz="4" w:space="0"/>
              <w:left w:val="nil"/>
              <w:bottom w:val="single" w:color="000000" w:sz="4" w:space="0"/>
              <w:right w:val="nil"/>
            </w:tcBorders>
            <w:shd w:val="clear" w:color="auto" w:fill="ADD88D"/>
            <w:vAlign w:val="center"/>
          </w:tcPr>
          <w:p w14:paraId="3F75483B">
            <w:pPr>
              <w:snapToGrid w:val="0"/>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209</w:t>
            </w:r>
          </w:p>
        </w:tc>
        <w:tc>
          <w:tcPr>
            <w:tcW w:w="0" w:type="auto"/>
            <w:tcBorders>
              <w:top w:val="single" w:color="000000" w:sz="4" w:space="0"/>
              <w:left w:val="nil"/>
              <w:bottom w:val="single" w:color="000000" w:sz="4" w:space="0"/>
              <w:right w:val="nil"/>
            </w:tcBorders>
            <w:shd w:val="clear" w:color="auto" w:fill="ADD88D"/>
            <w:vAlign w:val="center"/>
          </w:tcPr>
          <w:p w14:paraId="2C63EA66">
            <w:pPr>
              <w:snapToGrid w:val="0"/>
              <w:rPr>
                <w:rFonts w:hint="eastAsia" w:ascii="微软雅黑" w:hAnsi="微软雅黑" w:eastAsia="微软雅黑" w:cs="微软雅黑"/>
                <w:color w:val="000000"/>
                <w:sz w:val="24"/>
                <w:szCs w:val="24"/>
              </w:rPr>
            </w:pPr>
          </w:p>
        </w:tc>
        <w:tc>
          <w:tcPr>
            <w:tcW w:w="457" w:type="dxa"/>
            <w:tcBorders>
              <w:top w:val="single" w:color="000000" w:sz="4" w:space="0"/>
              <w:left w:val="nil"/>
              <w:bottom w:val="single" w:color="000000" w:sz="4" w:space="0"/>
              <w:right w:val="nil"/>
            </w:tcBorders>
            <w:shd w:val="clear" w:color="auto" w:fill="ADD88D"/>
            <w:vAlign w:val="center"/>
          </w:tcPr>
          <w:p w14:paraId="52AFE540">
            <w:pPr>
              <w:snapToGrid w:val="0"/>
              <w:rPr>
                <w:rFonts w:hint="eastAsia" w:ascii="微软雅黑" w:hAnsi="微软雅黑" w:eastAsia="微软雅黑" w:cs="微软雅黑"/>
                <w:color w:val="000000"/>
                <w:sz w:val="24"/>
                <w:szCs w:val="24"/>
              </w:rPr>
            </w:pPr>
          </w:p>
        </w:tc>
      </w:tr>
      <w:tr w14:paraId="4E6DEDB2">
        <w:tblPrEx>
          <w:tblCellMar>
            <w:top w:w="0" w:type="dxa"/>
            <w:left w:w="108" w:type="dxa"/>
            <w:bottom w:w="0" w:type="dxa"/>
            <w:right w:w="108" w:type="dxa"/>
          </w:tblCellMar>
        </w:tblPrEx>
        <w:trPr>
          <w:jc w:val="center"/>
        </w:trPr>
        <w:tc>
          <w:tcPr>
            <w:tcW w:w="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7A06E">
            <w:pPr>
              <w:widowControl/>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沙发</w:t>
            </w:r>
          </w:p>
        </w:tc>
        <w:tc>
          <w:tcPr>
            <w:tcW w:w="2455" w:type="dxa"/>
            <w:tcBorders>
              <w:top w:val="single" w:color="000000" w:sz="4" w:space="0"/>
              <w:left w:val="single" w:color="000000" w:sz="4" w:space="0"/>
              <w:bottom w:val="single" w:color="000000" w:sz="4" w:space="0"/>
              <w:right w:val="single" w:color="000000" w:sz="4" w:space="0"/>
            </w:tcBorders>
            <w:vAlign w:val="center"/>
          </w:tcPr>
          <w:p w14:paraId="102756F3">
            <w:pPr>
              <w:widowControl/>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2060*850*900</w:t>
            </w:r>
          </w:p>
        </w:tc>
        <w:tc>
          <w:tcPr>
            <w:tcW w:w="0" w:type="auto"/>
            <w:tcBorders>
              <w:top w:val="single" w:color="000000" w:sz="4" w:space="0"/>
              <w:left w:val="single" w:color="000000" w:sz="4" w:space="0"/>
              <w:bottom w:val="single" w:color="000000" w:sz="4" w:space="0"/>
              <w:right w:val="single" w:color="000000" w:sz="4" w:space="0"/>
            </w:tcBorders>
            <w:vAlign w:val="center"/>
          </w:tcPr>
          <w:p w14:paraId="61586DBE">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1、面料：采用优质西皮，厚度大于1.5mm，手感柔软、细腻、有韧性；富有弹性，颜色为（可选）。</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2、海棉：采用一次成型海棉，坐垫海绵密度≥35 kg/m³，背海绵密度≥25 kg/m³。厚实、弹性好，表面涂防止老化变形的保护膜，确保5年内不会出现弹不起现象。</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3、弹簧为优质蛇形弹簧加橡皮绷带。</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 xml:space="preserve">4、框架：选用优质天然硬性实木，经专业干燥设备处理，含水率在10±1%，保证长时间使用不开裂、不变形。                                               </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5、油漆：环保水性漆。</w:t>
            </w:r>
          </w:p>
        </w:tc>
        <w:tc>
          <w:tcPr>
            <w:tcW w:w="0" w:type="auto"/>
            <w:tcBorders>
              <w:top w:val="single" w:color="000000" w:sz="4" w:space="0"/>
              <w:left w:val="single" w:color="000000" w:sz="4" w:space="0"/>
              <w:bottom w:val="single" w:color="000000" w:sz="4" w:space="0"/>
              <w:right w:val="single" w:color="000000" w:sz="4" w:space="0"/>
            </w:tcBorders>
            <w:vAlign w:val="center"/>
          </w:tcPr>
          <w:p w14:paraId="67E6496F">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w:t>
            </w:r>
          </w:p>
        </w:tc>
        <w:tc>
          <w:tcPr>
            <w:tcW w:w="457" w:type="dxa"/>
            <w:tcBorders>
              <w:top w:val="single" w:color="000000" w:sz="4" w:space="0"/>
              <w:left w:val="single" w:color="000000" w:sz="4" w:space="0"/>
              <w:bottom w:val="single" w:color="000000" w:sz="4" w:space="0"/>
              <w:right w:val="single" w:color="000000" w:sz="4" w:space="0"/>
            </w:tcBorders>
            <w:vAlign w:val="center"/>
          </w:tcPr>
          <w:p w14:paraId="18212693">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张</w:t>
            </w:r>
          </w:p>
        </w:tc>
      </w:tr>
      <w:tr w14:paraId="10992233">
        <w:tblPrEx>
          <w:tblCellMar>
            <w:top w:w="0" w:type="dxa"/>
            <w:left w:w="108" w:type="dxa"/>
            <w:bottom w:w="0" w:type="dxa"/>
            <w:right w:w="108" w:type="dxa"/>
          </w:tblCellMar>
        </w:tblPrEx>
        <w:trPr>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BB317AC">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会议椅</w:t>
            </w:r>
          </w:p>
        </w:tc>
        <w:tc>
          <w:tcPr>
            <w:tcW w:w="0" w:type="auto"/>
            <w:tcBorders>
              <w:top w:val="single" w:color="000000" w:sz="4" w:space="0"/>
              <w:left w:val="single" w:color="000000" w:sz="4" w:space="0"/>
              <w:bottom w:val="single" w:color="000000" w:sz="4" w:space="0"/>
              <w:right w:val="single" w:color="000000" w:sz="4" w:space="0"/>
            </w:tcBorders>
            <w:vAlign w:val="center"/>
          </w:tcPr>
          <w:p w14:paraId="756684AA">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常规</w:t>
            </w:r>
          </w:p>
        </w:tc>
        <w:tc>
          <w:tcPr>
            <w:tcW w:w="0" w:type="auto"/>
            <w:tcBorders>
              <w:top w:val="single" w:color="000000" w:sz="4" w:space="0"/>
              <w:left w:val="single" w:color="000000" w:sz="4" w:space="0"/>
              <w:bottom w:val="single" w:color="000000" w:sz="4" w:space="0"/>
              <w:right w:val="single" w:color="000000" w:sz="4" w:space="0"/>
            </w:tcBorders>
            <w:vAlign w:val="center"/>
          </w:tcPr>
          <w:p w14:paraId="3752FC3B">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1、面料：采用优质超细纤维增强PU皮革,厚度≥1.5mm，具有优异的耐磨、耐寒、透气、耐老化性能。颜色为黑色 ；</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2、海棉：采用一次成型高回弹海棉，密度≥32kg/m³。厚实、弹性好，表面涂防止老化变形的保护膜，确保5年内不会出现弹不起现象。</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3、椅架：采用优质橡胶木实木制作，背板采用优质15mm厚夹板，用一次热成型技术,牢固且使用寿命长；</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4、油漆：环保水性漆。</w:t>
            </w:r>
          </w:p>
        </w:tc>
        <w:tc>
          <w:tcPr>
            <w:tcW w:w="0" w:type="auto"/>
            <w:tcBorders>
              <w:top w:val="single" w:color="000000" w:sz="4" w:space="0"/>
              <w:left w:val="single" w:color="000000" w:sz="4" w:space="0"/>
              <w:bottom w:val="single" w:color="000000" w:sz="4" w:space="0"/>
              <w:right w:val="single" w:color="000000" w:sz="4" w:space="0"/>
            </w:tcBorders>
            <w:vAlign w:val="center"/>
          </w:tcPr>
          <w:p w14:paraId="67E40FD9">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20</w:t>
            </w:r>
          </w:p>
        </w:tc>
        <w:tc>
          <w:tcPr>
            <w:tcW w:w="457" w:type="dxa"/>
            <w:tcBorders>
              <w:top w:val="single" w:color="000000" w:sz="4" w:space="0"/>
              <w:left w:val="single" w:color="000000" w:sz="4" w:space="0"/>
              <w:bottom w:val="single" w:color="000000" w:sz="4" w:space="0"/>
              <w:right w:val="single" w:color="000000" w:sz="4" w:space="0"/>
            </w:tcBorders>
            <w:vAlign w:val="center"/>
          </w:tcPr>
          <w:p w14:paraId="675C89DF">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 xml:space="preserve">把 </w:t>
            </w:r>
          </w:p>
        </w:tc>
      </w:tr>
      <w:tr w14:paraId="6CC6A1C2">
        <w:tblPrEx>
          <w:tblCellMar>
            <w:top w:w="0" w:type="dxa"/>
            <w:left w:w="108" w:type="dxa"/>
            <w:bottom w:w="0" w:type="dxa"/>
            <w:right w:w="108" w:type="dxa"/>
          </w:tblCellMar>
        </w:tblPrEx>
        <w:trPr>
          <w:jc w:val="center"/>
        </w:trPr>
        <w:tc>
          <w:tcPr>
            <w:tcW w:w="8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0A1EC">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茶水柜</w:t>
            </w:r>
          </w:p>
        </w:tc>
        <w:tc>
          <w:tcPr>
            <w:tcW w:w="2455" w:type="dxa"/>
            <w:tcBorders>
              <w:top w:val="single" w:color="000000" w:sz="4" w:space="0"/>
              <w:left w:val="single" w:color="000000" w:sz="4" w:space="0"/>
              <w:bottom w:val="single" w:color="000000" w:sz="4" w:space="0"/>
              <w:right w:val="single" w:color="000000" w:sz="4" w:space="0"/>
            </w:tcBorders>
            <w:vAlign w:val="center"/>
          </w:tcPr>
          <w:p w14:paraId="66149A2E">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1200*400*850</w:t>
            </w:r>
          </w:p>
        </w:tc>
        <w:tc>
          <w:tcPr>
            <w:tcW w:w="9495" w:type="dxa"/>
            <w:tcBorders>
              <w:top w:val="single" w:color="000000" w:sz="4" w:space="0"/>
              <w:left w:val="single" w:color="000000" w:sz="4" w:space="0"/>
              <w:bottom w:val="single" w:color="000000" w:sz="4" w:space="0"/>
              <w:right w:val="single" w:color="000000" w:sz="4" w:space="0"/>
            </w:tcBorders>
            <w:vAlign w:val="center"/>
          </w:tcPr>
          <w:p w14:paraId="7EC136F2">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1、饰面：采用厚度≧0.6mm胡桃木木皮贴面，无节疤、腐朽、裂纹、 虫眼、夹皮、变色等缺陷，用于同一件产品的木皮颜色、纹纹理一致，木纹清晰；</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2、基材采用中密度纤维板，甲醛释放量达到《GB/T 39600-2021 人造板及其制品甲醛释放量分级》E0级，甲醛释放量≤0.050mg/m3，其他符合国家中密度纤维板(GB/T11718-2009）标准；</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3、封边：采用实木皮封边，封边厚度≧0.6mm。封边应严密、平整、不允许脱胶、表面有胶渍，倒棱、圆角、圆线应均匀一致，自装配拆装产品零件结合应牢固严密。</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4、油漆：采用环保优质水性漆，标准厚度为0.5mm，底着色，五底三面油漆工艺，清晰体现实木质感。</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5、五金配件：采用优质品牌三节导轨、阻尼铰链、锁具，轨道在负重条件下，可连续滑动5万次不损坏，承重重量可达45公斤。铰链，能开合8-12万次无故障，无声响，使用寿命长。拉手款式新颖，手感好，耐用。使用寿命长。拉手款式新颖，手感好，耐用。</w:t>
            </w:r>
            <w:r>
              <w:rPr>
                <w:rFonts w:hint="eastAsia" w:ascii="微软雅黑" w:hAnsi="微软雅黑" w:eastAsia="微软雅黑" w:cs="微软雅黑"/>
                <w:color w:val="000000"/>
                <w:kern w:val="0"/>
                <w:sz w:val="24"/>
                <w:szCs w:val="24"/>
                <w:lang w:bidi="ar"/>
              </w:rPr>
              <w:br w:type="textWrapping"/>
            </w:r>
            <w:r>
              <w:rPr>
                <w:rFonts w:hint="eastAsia" w:ascii="微软雅黑" w:hAnsi="微软雅黑" w:eastAsia="微软雅黑" w:cs="微软雅黑"/>
                <w:color w:val="000000"/>
                <w:kern w:val="0"/>
                <w:sz w:val="24"/>
                <w:szCs w:val="24"/>
                <w:lang w:bidi="ar"/>
              </w:rPr>
              <w:t xml:space="preserve">6、胶水：环保白乳胶，不含甲醛。   </w:t>
            </w:r>
          </w:p>
        </w:tc>
        <w:tc>
          <w:tcPr>
            <w:tcW w:w="498" w:type="dxa"/>
            <w:tcBorders>
              <w:top w:val="single" w:color="000000" w:sz="4" w:space="0"/>
              <w:left w:val="single" w:color="000000" w:sz="4" w:space="0"/>
              <w:bottom w:val="single" w:color="000000" w:sz="4" w:space="0"/>
              <w:right w:val="single" w:color="000000" w:sz="4" w:space="0"/>
            </w:tcBorders>
            <w:vAlign w:val="center"/>
          </w:tcPr>
          <w:p w14:paraId="60EE535B">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1</w:t>
            </w:r>
          </w:p>
        </w:tc>
        <w:tc>
          <w:tcPr>
            <w:tcW w:w="457" w:type="dxa"/>
            <w:tcBorders>
              <w:top w:val="single" w:color="000000" w:sz="4" w:space="0"/>
              <w:left w:val="single" w:color="000000" w:sz="4" w:space="0"/>
              <w:bottom w:val="single" w:color="000000" w:sz="4" w:space="0"/>
              <w:right w:val="single" w:color="000000" w:sz="4" w:space="0"/>
            </w:tcBorders>
            <w:vAlign w:val="center"/>
          </w:tcPr>
          <w:p w14:paraId="4893690B">
            <w:pPr>
              <w:widowControl/>
              <w:snapToGrid w:val="0"/>
              <w:jc w:val="center"/>
              <w:textAlignment w:val="center"/>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kern w:val="0"/>
                <w:sz w:val="24"/>
                <w:szCs w:val="24"/>
                <w:lang w:bidi="ar"/>
              </w:rPr>
              <w:t>个</w:t>
            </w:r>
          </w:p>
        </w:tc>
      </w:tr>
    </w:tbl>
    <w:p w14:paraId="5C114557">
      <w:pPr>
        <w:widowControl/>
        <w:jc w:val="left"/>
        <w:rPr>
          <w:b/>
          <w:sz w:val="28"/>
          <w:szCs w:val="28"/>
        </w:rPr>
      </w:pPr>
      <w:r>
        <w:rPr>
          <w:b/>
          <w:sz w:val="28"/>
          <w:szCs w:val="28"/>
        </w:rPr>
        <w:br w:type="page"/>
      </w:r>
      <w:r>
        <w:rPr>
          <w:rFonts w:hint="eastAsia"/>
          <w:b/>
          <w:sz w:val="28"/>
          <w:szCs w:val="28"/>
        </w:rPr>
        <w:t xml:space="preserve">供方响应：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722"/>
        <w:gridCol w:w="1361"/>
        <w:gridCol w:w="3227"/>
        <w:gridCol w:w="1140"/>
        <w:gridCol w:w="1361"/>
        <w:gridCol w:w="1361"/>
        <w:gridCol w:w="1361"/>
      </w:tblGrid>
      <w:tr w14:paraId="53C6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 w:type="dxa"/>
          </w:tcPr>
          <w:p w14:paraId="1D9E1245">
            <w:pPr>
              <w:jc w:val="center"/>
              <w:rPr>
                <w:b/>
                <w:sz w:val="28"/>
                <w:szCs w:val="28"/>
              </w:rPr>
            </w:pPr>
            <w:r>
              <w:rPr>
                <w:rFonts w:hint="eastAsia"/>
                <w:b/>
                <w:sz w:val="28"/>
                <w:szCs w:val="28"/>
              </w:rPr>
              <w:t>序号</w:t>
            </w:r>
          </w:p>
        </w:tc>
        <w:tc>
          <w:tcPr>
            <w:tcW w:w="2722" w:type="dxa"/>
          </w:tcPr>
          <w:p w14:paraId="542F979D">
            <w:pPr>
              <w:jc w:val="center"/>
              <w:rPr>
                <w:b/>
                <w:sz w:val="28"/>
                <w:szCs w:val="28"/>
              </w:rPr>
            </w:pPr>
            <w:r>
              <w:rPr>
                <w:rFonts w:hint="eastAsia"/>
                <w:b/>
                <w:sz w:val="28"/>
                <w:szCs w:val="28"/>
              </w:rPr>
              <w:t>名 称</w:t>
            </w:r>
          </w:p>
        </w:tc>
        <w:tc>
          <w:tcPr>
            <w:tcW w:w="1361" w:type="dxa"/>
          </w:tcPr>
          <w:p w14:paraId="40D844DE">
            <w:pPr>
              <w:jc w:val="center"/>
              <w:rPr>
                <w:b/>
                <w:sz w:val="28"/>
                <w:szCs w:val="28"/>
              </w:rPr>
            </w:pPr>
            <w:r>
              <w:rPr>
                <w:rFonts w:hint="eastAsia"/>
                <w:b/>
                <w:sz w:val="28"/>
                <w:szCs w:val="28"/>
              </w:rPr>
              <w:t>生产厂家</w:t>
            </w:r>
          </w:p>
        </w:tc>
        <w:tc>
          <w:tcPr>
            <w:tcW w:w="3227" w:type="dxa"/>
          </w:tcPr>
          <w:p w14:paraId="43D6C287">
            <w:pPr>
              <w:jc w:val="center"/>
              <w:rPr>
                <w:b/>
                <w:sz w:val="28"/>
                <w:szCs w:val="28"/>
              </w:rPr>
            </w:pPr>
            <w:r>
              <w:rPr>
                <w:rFonts w:hint="eastAsia"/>
                <w:b/>
                <w:sz w:val="28"/>
                <w:szCs w:val="28"/>
              </w:rPr>
              <w:t>技术参数或规格要求</w:t>
            </w:r>
          </w:p>
        </w:tc>
        <w:tc>
          <w:tcPr>
            <w:tcW w:w="1140" w:type="dxa"/>
          </w:tcPr>
          <w:p w14:paraId="20F192A1">
            <w:pPr>
              <w:jc w:val="center"/>
              <w:rPr>
                <w:b/>
                <w:sz w:val="28"/>
                <w:szCs w:val="28"/>
              </w:rPr>
            </w:pPr>
            <w:r>
              <w:rPr>
                <w:rFonts w:hint="eastAsia"/>
                <w:b/>
                <w:sz w:val="28"/>
                <w:szCs w:val="28"/>
              </w:rPr>
              <w:t>数量</w:t>
            </w:r>
          </w:p>
        </w:tc>
        <w:tc>
          <w:tcPr>
            <w:tcW w:w="1361" w:type="dxa"/>
          </w:tcPr>
          <w:p w14:paraId="6E92FF4E">
            <w:pPr>
              <w:widowControl/>
              <w:jc w:val="center"/>
              <w:rPr>
                <w:b/>
                <w:sz w:val="28"/>
                <w:szCs w:val="28"/>
              </w:rPr>
            </w:pPr>
            <w:r>
              <w:rPr>
                <w:rFonts w:hint="eastAsia"/>
                <w:b/>
                <w:sz w:val="28"/>
                <w:szCs w:val="28"/>
              </w:rPr>
              <w:t>单价</w:t>
            </w:r>
          </w:p>
        </w:tc>
        <w:tc>
          <w:tcPr>
            <w:tcW w:w="1361" w:type="dxa"/>
          </w:tcPr>
          <w:p w14:paraId="185944DB">
            <w:pPr>
              <w:widowControl/>
              <w:jc w:val="center"/>
              <w:rPr>
                <w:b/>
                <w:sz w:val="28"/>
                <w:szCs w:val="28"/>
              </w:rPr>
            </w:pPr>
            <w:r>
              <w:rPr>
                <w:rFonts w:hint="eastAsia"/>
                <w:b/>
                <w:sz w:val="28"/>
                <w:szCs w:val="28"/>
              </w:rPr>
              <w:t>合计</w:t>
            </w:r>
          </w:p>
        </w:tc>
        <w:tc>
          <w:tcPr>
            <w:tcW w:w="1361" w:type="dxa"/>
          </w:tcPr>
          <w:p w14:paraId="7EB3D386">
            <w:pPr>
              <w:widowControl/>
              <w:jc w:val="center"/>
              <w:rPr>
                <w:b/>
                <w:sz w:val="28"/>
                <w:szCs w:val="28"/>
              </w:rPr>
            </w:pPr>
            <w:r>
              <w:rPr>
                <w:rFonts w:hint="eastAsia"/>
                <w:b/>
                <w:sz w:val="28"/>
                <w:szCs w:val="28"/>
              </w:rPr>
              <w:t>质保期</w:t>
            </w:r>
          </w:p>
        </w:tc>
      </w:tr>
      <w:tr w14:paraId="6402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8457452">
            <w:pPr>
              <w:jc w:val="center"/>
              <w:rPr>
                <w:sz w:val="28"/>
                <w:szCs w:val="28"/>
              </w:rPr>
            </w:pPr>
            <w:r>
              <w:rPr>
                <w:rFonts w:hint="eastAsia"/>
                <w:sz w:val="28"/>
                <w:szCs w:val="28"/>
              </w:rPr>
              <w:t>1</w:t>
            </w:r>
          </w:p>
        </w:tc>
        <w:tc>
          <w:tcPr>
            <w:tcW w:w="2722" w:type="dxa"/>
            <w:vAlign w:val="center"/>
          </w:tcPr>
          <w:p w14:paraId="6B8C2156">
            <w:pPr>
              <w:jc w:val="center"/>
              <w:rPr>
                <w:b/>
              </w:rPr>
            </w:pPr>
          </w:p>
        </w:tc>
        <w:tc>
          <w:tcPr>
            <w:tcW w:w="1361" w:type="dxa"/>
            <w:vAlign w:val="center"/>
          </w:tcPr>
          <w:p w14:paraId="79E7DF3E">
            <w:pPr>
              <w:jc w:val="center"/>
              <w:rPr>
                <w:b/>
                <w:sz w:val="28"/>
                <w:szCs w:val="28"/>
              </w:rPr>
            </w:pPr>
          </w:p>
        </w:tc>
        <w:tc>
          <w:tcPr>
            <w:tcW w:w="3227" w:type="dxa"/>
            <w:vAlign w:val="center"/>
          </w:tcPr>
          <w:p w14:paraId="4F6C493B">
            <w:pPr>
              <w:jc w:val="center"/>
              <w:rPr>
                <w:b/>
              </w:rPr>
            </w:pPr>
          </w:p>
        </w:tc>
        <w:tc>
          <w:tcPr>
            <w:tcW w:w="1140" w:type="dxa"/>
            <w:vAlign w:val="center"/>
          </w:tcPr>
          <w:p w14:paraId="08423215">
            <w:pPr>
              <w:jc w:val="center"/>
              <w:rPr>
                <w:b/>
              </w:rPr>
            </w:pPr>
          </w:p>
        </w:tc>
        <w:tc>
          <w:tcPr>
            <w:tcW w:w="1361" w:type="dxa"/>
            <w:vAlign w:val="center"/>
          </w:tcPr>
          <w:p w14:paraId="6E87F457">
            <w:pPr>
              <w:widowControl/>
              <w:jc w:val="center"/>
              <w:rPr>
                <w:b/>
              </w:rPr>
            </w:pPr>
          </w:p>
        </w:tc>
        <w:tc>
          <w:tcPr>
            <w:tcW w:w="1361" w:type="dxa"/>
            <w:vAlign w:val="center"/>
          </w:tcPr>
          <w:p w14:paraId="70B5ADF4">
            <w:pPr>
              <w:widowControl/>
              <w:jc w:val="center"/>
              <w:rPr>
                <w:b/>
              </w:rPr>
            </w:pPr>
          </w:p>
        </w:tc>
        <w:tc>
          <w:tcPr>
            <w:tcW w:w="1361" w:type="dxa"/>
            <w:vAlign w:val="center"/>
          </w:tcPr>
          <w:p w14:paraId="0ACC8B22">
            <w:pPr>
              <w:widowControl/>
              <w:jc w:val="center"/>
              <w:rPr>
                <w:b/>
              </w:rPr>
            </w:pPr>
          </w:p>
        </w:tc>
      </w:tr>
      <w:tr w14:paraId="2119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45C9E686">
            <w:pPr>
              <w:jc w:val="center"/>
              <w:rPr>
                <w:sz w:val="28"/>
                <w:szCs w:val="28"/>
              </w:rPr>
            </w:pPr>
            <w:r>
              <w:rPr>
                <w:rFonts w:hint="eastAsia"/>
                <w:sz w:val="28"/>
                <w:szCs w:val="28"/>
              </w:rPr>
              <w:t>2</w:t>
            </w:r>
          </w:p>
        </w:tc>
        <w:tc>
          <w:tcPr>
            <w:tcW w:w="2722" w:type="dxa"/>
            <w:vAlign w:val="center"/>
          </w:tcPr>
          <w:p w14:paraId="6D9D8F06">
            <w:pPr>
              <w:jc w:val="center"/>
              <w:rPr>
                <w:b/>
              </w:rPr>
            </w:pPr>
          </w:p>
        </w:tc>
        <w:tc>
          <w:tcPr>
            <w:tcW w:w="1361" w:type="dxa"/>
            <w:vAlign w:val="center"/>
          </w:tcPr>
          <w:p w14:paraId="5084CC0B">
            <w:pPr>
              <w:jc w:val="center"/>
              <w:rPr>
                <w:b/>
                <w:sz w:val="28"/>
                <w:szCs w:val="28"/>
              </w:rPr>
            </w:pPr>
          </w:p>
        </w:tc>
        <w:tc>
          <w:tcPr>
            <w:tcW w:w="3227" w:type="dxa"/>
            <w:vAlign w:val="center"/>
          </w:tcPr>
          <w:p w14:paraId="1194AD5F">
            <w:pPr>
              <w:jc w:val="center"/>
              <w:rPr>
                <w:b/>
              </w:rPr>
            </w:pPr>
          </w:p>
        </w:tc>
        <w:tc>
          <w:tcPr>
            <w:tcW w:w="1140" w:type="dxa"/>
            <w:vAlign w:val="center"/>
          </w:tcPr>
          <w:p w14:paraId="0FCBD428">
            <w:pPr>
              <w:jc w:val="center"/>
              <w:rPr>
                <w:b/>
              </w:rPr>
            </w:pPr>
          </w:p>
        </w:tc>
        <w:tc>
          <w:tcPr>
            <w:tcW w:w="1361" w:type="dxa"/>
            <w:vAlign w:val="center"/>
          </w:tcPr>
          <w:p w14:paraId="1996B051">
            <w:pPr>
              <w:widowControl/>
              <w:jc w:val="center"/>
              <w:rPr>
                <w:b/>
              </w:rPr>
            </w:pPr>
          </w:p>
        </w:tc>
        <w:tc>
          <w:tcPr>
            <w:tcW w:w="1361" w:type="dxa"/>
            <w:vAlign w:val="center"/>
          </w:tcPr>
          <w:p w14:paraId="44F6C63A">
            <w:pPr>
              <w:widowControl/>
              <w:jc w:val="center"/>
              <w:rPr>
                <w:b/>
              </w:rPr>
            </w:pPr>
          </w:p>
        </w:tc>
        <w:tc>
          <w:tcPr>
            <w:tcW w:w="1361" w:type="dxa"/>
            <w:vAlign w:val="center"/>
          </w:tcPr>
          <w:p w14:paraId="354E8A3B">
            <w:pPr>
              <w:widowControl/>
              <w:jc w:val="center"/>
              <w:rPr>
                <w:b/>
              </w:rPr>
            </w:pPr>
          </w:p>
        </w:tc>
      </w:tr>
      <w:tr w14:paraId="20E9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748C0FF7">
            <w:pPr>
              <w:jc w:val="center"/>
              <w:rPr>
                <w:sz w:val="28"/>
                <w:szCs w:val="28"/>
              </w:rPr>
            </w:pPr>
            <w:r>
              <w:rPr>
                <w:rFonts w:hint="eastAsia"/>
                <w:sz w:val="28"/>
                <w:szCs w:val="28"/>
              </w:rPr>
              <w:t>3</w:t>
            </w:r>
          </w:p>
        </w:tc>
        <w:tc>
          <w:tcPr>
            <w:tcW w:w="2722" w:type="dxa"/>
            <w:vAlign w:val="center"/>
          </w:tcPr>
          <w:p w14:paraId="3C4D62B4">
            <w:pPr>
              <w:jc w:val="center"/>
              <w:rPr>
                <w:b/>
              </w:rPr>
            </w:pPr>
          </w:p>
        </w:tc>
        <w:tc>
          <w:tcPr>
            <w:tcW w:w="1361" w:type="dxa"/>
            <w:vAlign w:val="center"/>
          </w:tcPr>
          <w:p w14:paraId="7FD0637C">
            <w:pPr>
              <w:jc w:val="center"/>
              <w:rPr>
                <w:b/>
                <w:sz w:val="28"/>
                <w:szCs w:val="28"/>
              </w:rPr>
            </w:pPr>
          </w:p>
        </w:tc>
        <w:tc>
          <w:tcPr>
            <w:tcW w:w="3227" w:type="dxa"/>
            <w:vAlign w:val="center"/>
          </w:tcPr>
          <w:p w14:paraId="788592EA">
            <w:pPr>
              <w:jc w:val="center"/>
              <w:rPr>
                <w:b/>
              </w:rPr>
            </w:pPr>
          </w:p>
        </w:tc>
        <w:tc>
          <w:tcPr>
            <w:tcW w:w="1140" w:type="dxa"/>
            <w:vAlign w:val="center"/>
          </w:tcPr>
          <w:p w14:paraId="3762196A">
            <w:pPr>
              <w:jc w:val="center"/>
              <w:rPr>
                <w:b/>
              </w:rPr>
            </w:pPr>
          </w:p>
        </w:tc>
        <w:tc>
          <w:tcPr>
            <w:tcW w:w="1361" w:type="dxa"/>
            <w:vAlign w:val="center"/>
          </w:tcPr>
          <w:p w14:paraId="4975BB78">
            <w:pPr>
              <w:widowControl/>
              <w:jc w:val="center"/>
              <w:rPr>
                <w:b/>
              </w:rPr>
            </w:pPr>
          </w:p>
        </w:tc>
        <w:tc>
          <w:tcPr>
            <w:tcW w:w="1361" w:type="dxa"/>
            <w:vAlign w:val="center"/>
          </w:tcPr>
          <w:p w14:paraId="44A5BAC4">
            <w:pPr>
              <w:widowControl/>
              <w:jc w:val="center"/>
              <w:rPr>
                <w:b/>
              </w:rPr>
            </w:pPr>
          </w:p>
        </w:tc>
        <w:tc>
          <w:tcPr>
            <w:tcW w:w="1361" w:type="dxa"/>
            <w:vAlign w:val="center"/>
          </w:tcPr>
          <w:p w14:paraId="46575F21">
            <w:pPr>
              <w:widowControl/>
              <w:jc w:val="center"/>
              <w:rPr>
                <w:b/>
              </w:rPr>
            </w:pPr>
          </w:p>
        </w:tc>
      </w:tr>
      <w:tr w14:paraId="7C42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3405CFB8">
            <w:pPr>
              <w:jc w:val="center"/>
              <w:rPr>
                <w:sz w:val="28"/>
                <w:szCs w:val="28"/>
              </w:rPr>
            </w:pPr>
            <w:r>
              <w:rPr>
                <w:rFonts w:hint="eastAsia"/>
                <w:sz w:val="28"/>
                <w:szCs w:val="28"/>
              </w:rPr>
              <w:t>4</w:t>
            </w:r>
          </w:p>
        </w:tc>
        <w:tc>
          <w:tcPr>
            <w:tcW w:w="2722" w:type="dxa"/>
            <w:vAlign w:val="center"/>
          </w:tcPr>
          <w:p w14:paraId="5DFE9CD6">
            <w:pPr>
              <w:jc w:val="center"/>
              <w:rPr>
                <w:b/>
              </w:rPr>
            </w:pPr>
          </w:p>
        </w:tc>
        <w:tc>
          <w:tcPr>
            <w:tcW w:w="1361" w:type="dxa"/>
            <w:vAlign w:val="center"/>
          </w:tcPr>
          <w:p w14:paraId="0BD3932A">
            <w:pPr>
              <w:jc w:val="center"/>
              <w:rPr>
                <w:b/>
                <w:sz w:val="28"/>
                <w:szCs w:val="28"/>
              </w:rPr>
            </w:pPr>
          </w:p>
        </w:tc>
        <w:tc>
          <w:tcPr>
            <w:tcW w:w="3227" w:type="dxa"/>
            <w:vAlign w:val="center"/>
          </w:tcPr>
          <w:p w14:paraId="4EC1686E">
            <w:pPr>
              <w:jc w:val="center"/>
              <w:rPr>
                <w:b/>
              </w:rPr>
            </w:pPr>
          </w:p>
        </w:tc>
        <w:tc>
          <w:tcPr>
            <w:tcW w:w="1140" w:type="dxa"/>
            <w:vAlign w:val="center"/>
          </w:tcPr>
          <w:p w14:paraId="6CD02A50">
            <w:pPr>
              <w:jc w:val="center"/>
              <w:rPr>
                <w:b/>
              </w:rPr>
            </w:pPr>
          </w:p>
        </w:tc>
        <w:tc>
          <w:tcPr>
            <w:tcW w:w="1361" w:type="dxa"/>
            <w:vAlign w:val="center"/>
          </w:tcPr>
          <w:p w14:paraId="08F41D8D">
            <w:pPr>
              <w:widowControl/>
              <w:jc w:val="center"/>
              <w:rPr>
                <w:b/>
              </w:rPr>
            </w:pPr>
          </w:p>
        </w:tc>
        <w:tc>
          <w:tcPr>
            <w:tcW w:w="1361" w:type="dxa"/>
            <w:vAlign w:val="center"/>
          </w:tcPr>
          <w:p w14:paraId="181E5FA6">
            <w:pPr>
              <w:widowControl/>
              <w:jc w:val="center"/>
              <w:rPr>
                <w:b/>
              </w:rPr>
            </w:pPr>
          </w:p>
        </w:tc>
        <w:tc>
          <w:tcPr>
            <w:tcW w:w="1361" w:type="dxa"/>
            <w:vAlign w:val="center"/>
          </w:tcPr>
          <w:p w14:paraId="4B8D0693">
            <w:pPr>
              <w:widowControl/>
              <w:jc w:val="center"/>
              <w:rPr>
                <w:b/>
              </w:rPr>
            </w:pPr>
          </w:p>
        </w:tc>
      </w:tr>
      <w:tr w14:paraId="2EA8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0D07B26F">
            <w:pPr>
              <w:jc w:val="center"/>
              <w:rPr>
                <w:sz w:val="28"/>
                <w:szCs w:val="28"/>
              </w:rPr>
            </w:pPr>
            <w:r>
              <w:rPr>
                <w:rFonts w:hint="eastAsia"/>
                <w:sz w:val="28"/>
                <w:szCs w:val="28"/>
              </w:rPr>
              <w:t>5</w:t>
            </w:r>
          </w:p>
        </w:tc>
        <w:tc>
          <w:tcPr>
            <w:tcW w:w="2722" w:type="dxa"/>
            <w:vAlign w:val="center"/>
          </w:tcPr>
          <w:p w14:paraId="7B54F35C">
            <w:pPr>
              <w:jc w:val="center"/>
              <w:rPr>
                <w:b/>
              </w:rPr>
            </w:pPr>
          </w:p>
        </w:tc>
        <w:tc>
          <w:tcPr>
            <w:tcW w:w="1361" w:type="dxa"/>
            <w:vAlign w:val="center"/>
          </w:tcPr>
          <w:p w14:paraId="0509029E">
            <w:pPr>
              <w:jc w:val="center"/>
              <w:rPr>
                <w:b/>
                <w:sz w:val="28"/>
                <w:szCs w:val="28"/>
              </w:rPr>
            </w:pPr>
          </w:p>
        </w:tc>
        <w:tc>
          <w:tcPr>
            <w:tcW w:w="3227" w:type="dxa"/>
            <w:vAlign w:val="center"/>
          </w:tcPr>
          <w:p w14:paraId="45B613FB">
            <w:pPr>
              <w:jc w:val="center"/>
              <w:rPr>
                <w:b/>
              </w:rPr>
            </w:pPr>
          </w:p>
        </w:tc>
        <w:tc>
          <w:tcPr>
            <w:tcW w:w="1140" w:type="dxa"/>
            <w:vAlign w:val="center"/>
          </w:tcPr>
          <w:p w14:paraId="752960F1">
            <w:pPr>
              <w:jc w:val="center"/>
              <w:rPr>
                <w:b/>
              </w:rPr>
            </w:pPr>
          </w:p>
        </w:tc>
        <w:tc>
          <w:tcPr>
            <w:tcW w:w="1361" w:type="dxa"/>
            <w:vAlign w:val="center"/>
          </w:tcPr>
          <w:p w14:paraId="4F78F8CF">
            <w:pPr>
              <w:widowControl/>
              <w:jc w:val="center"/>
              <w:rPr>
                <w:b/>
              </w:rPr>
            </w:pPr>
          </w:p>
        </w:tc>
        <w:tc>
          <w:tcPr>
            <w:tcW w:w="1361" w:type="dxa"/>
            <w:vAlign w:val="center"/>
          </w:tcPr>
          <w:p w14:paraId="6EEDEF65">
            <w:pPr>
              <w:widowControl/>
              <w:jc w:val="center"/>
              <w:rPr>
                <w:b/>
              </w:rPr>
            </w:pPr>
          </w:p>
        </w:tc>
        <w:tc>
          <w:tcPr>
            <w:tcW w:w="1361" w:type="dxa"/>
            <w:vAlign w:val="center"/>
          </w:tcPr>
          <w:p w14:paraId="3075B4E1">
            <w:pPr>
              <w:widowControl/>
              <w:jc w:val="center"/>
              <w:rPr>
                <w:b/>
              </w:rPr>
            </w:pPr>
          </w:p>
        </w:tc>
      </w:tr>
      <w:tr w14:paraId="0A52E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12A343A">
            <w:pPr>
              <w:jc w:val="center"/>
              <w:rPr>
                <w:sz w:val="28"/>
                <w:szCs w:val="28"/>
              </w:rPr>
            </w:pPr>
            <w:r>
              <w:rPr>
                <w:rFonts w:hint="eastAsia"/>
                <w:sz w:val="28"/>
                <w:szCs w:val="28"/>
              </w:rPr>
              <w:t>6</w:t>
            </w:r>
          </w:p>
        </w:tc>
        <w:tc>
          <w:tcPr>
            <w:tcW w:w="2722" w:type="dxa"/>
            <w:vAlign w:val="center"/>
          </w:tcPr>
          <w:p w14:paraId="6B2258CE">
            <w:pPr>
              <w:jc w:val="center"/>
              <w:rPr>
                <w:b/>
              </w:rPr>
            </w:pPr>
          </w:p>
        </w:tc>
        <w:tc>
          <w:tcPr>
            <w:tcW w:w="1361" w:type="dxa"/>
            <w:vAlign w:val="center"/>
          </w:tcPr>
          <w:p w14:paraId="1FB5B878">
            <w:pPr>
              <w:jc w:val="center"/>
              <w:rPr>
                <w:b/>
                <w:sz w:val="28"/>
                <w:szCs w:val="28"/>
              </w:rPr>
            </w:pPr>
          </w:p>
        </w:tc>
        <w:tc>
          <w:tcPr>
            <w:tcW w:w="3227" w:type="dxa"/>
            <w:vAlign w:val="center"/>
          </w:tcPr>
          <w:p w14:paraId="1972A126">
            <w:pPr>
              <w:jc w:val="center"/>
              <w:rPr>
                <w:b/>
              </w:rPr>
            </w:pPr>
          </w:p>
        </w:tc>
        <w:tc>
          <w:tcPr>
            <w:tcW w:w="1140" w:type="dxa"/>
            <w:vAlign w:val="center"/>
          </w:tcPr>
          <w:p w14:paraId="5D9CE234">
            <w:pPr>
              <w:jc w:val="center"/>
              <w:rPr>
                <w:b/>
              </w:rPr>
            </w:pPr>
          </w:p>
        </w:tc>
        <w:tc>
          <w:tcPr>
            <w:tcW w:w="1361" w:type="dxa"/>
            <w:vAlign w:val="center"/>
          </w:tcPr>
          <w:p w14:paraId="669ED5F5">
            <w:pPr>
              <w:widowControl/>
              <w:jc w:val="center"/>
              <w:rPr>
                <w:b/>
              </w:rPr>
            </w:pPr>
          </w:p>
        </w:tc>
        <w:tc>
          <w:tcPr>
            <w:tcW w:w="1361" w:type="dxa"/>
            <w:vAlign w:val="center"/>
          </w:tcPr>
          <w:p w14:paraId="7682F583">
            <w:pPr>
              <w:widowControl/>
              <w:jc w:val="center"/>
              <w:rPr>
                <w:b/>
              </w:rPr>
            </w:pPr>
          </w:p>
        </w:tc>
        <w:tc>
          <w:tcPr>
            <w:tcW w:w="1361" w:type="dxa"/>
            <w:vAlign w:val="center"/>
          </w:tcPr>
          <w:p w14:paraId="52D32C2F">
            <w:pPr>
              <w:widowControl/>
              <w:jc w:val="center"/>
              <w:rPr>
                <w:b/>
              </w:rPr>
            </w:pPr>
          </w:p>
        </w:tc>
      </w:tr>
      <w:tr w14:paraId="2B90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907" w:type="dxa"/>
          </w:tcPr>
          <w:p w14:paraId="2A994B04">
            <w:pPr>
              <w:jc w:val="center"/>
              <w:rPr>
                <w:sz w:val="28"/>
                <w:szCs w:val="28"/>
              </w:rPr>
            </w:pPr>
            <w:r>
              <w:rPr>
                <w:rFonts w:hint="eastAsia"/>
                <w:sz w:val="28"/>
                <w:szCs w:val="28"/>
              </w:rPr>
              <w:t>7</w:t>
            </w:r>
          </w:p>
        </w:tc>
        <w:tc>
          <w:tcPr>
            <w:tcW w:w="2722" w:type="dxa"/>
            <w:vAlign w:val="center"/>
          </w:tcPr>
          <w:p w14:paraId="55DF9897">
            <w:pPr>
              <w:jc w:val="center"/>
              <w:rPr>
                <w:b/>
              </w:rPr>
            </w:pPr>
          </w:p>
        </w:tc>
        <w:tc>
          <w:tcPr>
            <w:tcW w:w="1361" w:type="dxa"/>
            <w:vAlign w:val="center"/>
          </w:tcPr>
          <w:p w14:paraId="7DEDC546">
            <w:pPr>
              <w:jc w:val="center"/>
              <w:rPr>
                <w:b/>
                <w:sz w:val="28"/>
                <w:szCs w:val="28"/>
              </w:rPr>
            </w:pPr>
          </w:p>
        </w:tc>
        <w:tc>
          <w:tcPr>
            <w:tcW w:w="3227" w:type="dxa"/>
            <w:vAlign w:val="center"/>
          </w:tcPr>
          <w:p w14:paraId="25B60844">
            <w:pPr>
              <w:jc w:val="center"/>
              <w:rPr>
                <w:b/>
              </w:rPr>
            </w:pPr>
          </w:p>
        </w:tc>
        <w:tc>
          <w:tcPr>
            <w:tcW w:w="1140" w:type="dxa"/>
            <w:vAlign w:val="center"/>
          </w:tcPr>
          <w:p w14:paraId="5367D9AA">
            <w:pPr>
              <w:jc w:val="center"/>
              <w:rPr>
                <w:b/>
              </w:rPr>
            </w:pPr>
          </w:p>
        </w:tc>
        <w:tc>
          <w:tcPr>
            <w:tcW w:w="1361" w:type="dxa"/>
            <w:vAlign w:val="center"/>
          </w:tcPr>
          <w:p w14:paraId="52163B1A">
            <w:pPr>
              <w:widowControl/>
              <w:jc w:val="center"/>
              <w:rPr>
                <w:b/>
              </w:rPr>
            </w:pPr>
          </w:p>
        </w:tc>
        <w:tc>
          <w:tcPr>
            <w:tcW w:w="1361" w:type="dxa"/>
            <w:vAlign w:val="center"/>
          </w:tcPr>
          <w:p w14:paraId="39E64750">
            <w:pPr>
              <w:widowControl/>
              <w:jc w:val="center"/>
              <w:rPr>
                <w:b/>
              </w:rPr>
            </w:pPr>
          </w:p>
        </w:tc>
        <w:tc>
          <w:tcPr>
            <w:tcW w:w="1361" w:type="dxa"/>
            <w:vAlign w:val="center"/>
          </w:tcPr>
          <w:p w14:paraId="110FF0AD">
            <w:pPr>
              <w:widowControl/>
              <w:jc w:val="center"/>
              <w:rPr>
                <w:b/>
              </w:rPr>
            </w:pPr>
          </w:p>
        </w:tc>
      </w:tr>
    </w:tbl>
    <w:p w14:paraId="6D58748A">
      <w:pPr>
        <w:jc w:val="center"/>
        <w:rPr>
          <w:b/>
        </w:rPr>
      </w:pPr>
    </w:p>
    <w:p w14:paraId="757BB556">
      <w:pPr>
        <w:jc w:val="left"/>
        <w:rPr>
          <w:b/>
          <w:sz w:val="28"/>
          <w:szCs w:val="28"/>
        </w:rPr>
      </w:pPr>
      <w:r>
        <w:rPr>
          <w:rFonts w:hint="eastAsia"/>
          <w:b/>
          <w:sz w:val="28"/>
          <w:szCs w:val="28"/>
        </w:rPr>
        <w:t>其他说明：无</w:t>
      </w:r>
    </w:p>
    <w:p w14:paraId="25E890F7">
      <w:pPr>
        <w:spacing w:line="360" w:lineRule="auto"/>
        <w:jc w:val="left"/>
        <w:rPr>
          <w:b/>
          <w:sz w:val="28"/>
          <w:szCs w:val="28"/>
        </w:rPr>
      </w:pPr>
      <w:r>
        <w:rPr>
          <w:rFonts w:hint="eastAsia"/>
          <w:b/>
          <w:sz w:val="28"/>
          <w:szCs w:val="28"/>
        </w:rPr>
        <w:t xml:space="preserve">                                                               </w:t>
      </w:r>
    </w:p>
    <w:sectPr>
      <w:footerReference r:id="rId3" w:type="default"/>
      <w:pgSz w:w="16838" w:h="11906" w:orient="landscape"/>
      <w:pgMar w:top="1588" w:right="1440" w:bottom="1191" w:left="1440" w:header="851" w:footer="68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6248056"/>
    </w:sdtPr>
    <w:sdtContent>
      <w:sdt>
        <w:sdtPr>
          <w:id w:val="-1669238322"/>
        </w:sdtPr>
        <w:sdtContent>
          <w:p w14:paraId="0D209CB0">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3727D13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016"/>
    <w:rsid w:val="000336F6"/>
    <w:rsid w:val="00042FB6"/>
    <w:rsid w:val="00056DD6"/>
    <w:rsid w:val="00075968"/>
    <w:rsid w:val="000C09F6"/>
    <w:rsid w:val="000D2640"/>
    <w:rsid w:val="000D56EC"/>
    <w:rsid w:val="000E14A6"/>
    <w:rsid w:val="000E358D"/>
    <w:rsid w:val="000E4BA3"/>
    <w:rsid w:val="00116337"/>
    <w:rsid w:val="00127958"/>
    <w:rsid w:val="0013448B"/>
    <w:rsid w:val="001463B1"/>
    <w:rsid w:val="001575DA"/>
    <w:rsid w:val="00174F76"/>
    <w:rsid w:val="00255021"/>
    <w:rsid w:val="00272739"/>
    <w:rsid w:val="00284744"/>
    <w:rsid w:val="002B0B51"/>
    <w:rsid w:val="002B1F44"/>
    <w:rsid w:val="002C0695"/>
    <w:rsid w:val="002D203E"/>
    <w:rsid w:val="00300760"/>
    <w:rsid w:val="003049F7"/>
    <w:rsid w:val="003139E5"/>
    <w:rsid w:val="00314CA3"/>
    <w:rsid w:val="00335BB3"/>
    <w:rsid w:val="003540C4"/>
    <w:rsid w:val="00362D98"/>
    <w:rsid w:val="003945AE"/>
    <w:rsid w:val="003A4E9C"/>
    <w:rsid w:val="003B1445"/>
    <w:rsid w:val="003B555F"/>
    <w:rsid w:val="003C347F"/>
    <w:rsid w:val="003F7B94"/>
    <w:rsid w:val="00400B04"/>
    <w:rsid w:val="00415381"/>
    <w:rsid w:val="00435869"/>
    <w:rsid w:val="00447C15"/>
    <w:rsid w:val="0045012D"/>
    <w:rsid w:val="00460091"/>
    <w:rsid w:val="00482F39"/>
    <w:rsid w:val="00490DCE"/>
    <w:rsid w:val="004A17A4"/>
    <w:rsid w:val="004B1DF0"/>
    <w:rsid w:val="004B1F52"/>
    <w:rsid w:val="004F3835"/>
    <w:rsid w:val="00514257"/>
    <w:rsid w:val="0051607F"/>
    <w:rsid w:val="00525A0D"/>
    <w:rsid w:val="00531E93"/>
    <w:rsid w:val="00570B67"/>
    <w:rsid w:val="00574480"/>
    <w:rsid w:val="00582EB4"/>
    <w:rsid w:val="005A4DF7"/>
    <w:rsid w:val="005B0802"/>
    <w:rsid w:val="005E27F9"/>
    <w:rsid w:val="005E44B6"/>
    <w:rsid w:val="005E5E1D"/>
    <w:rsid w:val="005F2563"/>
    <w:rsid w:val="005F5EA3"/>
    <w:rsid w:val="00606833"/>
    <w:rsid w:val="00622C18"/>
    <w:rsid w:val="00655ADD"/>
    <w:rsid w:val="006D28A8"/>
    <w:rsid w:val="006D59B2"/>
    <w:rsid w:val="006F0EA9"/>
    <w:rsid w:val="00703812"/>
    <w:rsid w:val="00712A8C"/>
    <w:rsid w:val="007132D9"/>
    <w:rsid w:val="007516C1"/>
    <w:rsid w:val="007706B7"/>
    <w:rsid w:val="00774FA8"/>
    <w:rsid w:val="00784E31"/>
    <w:rsid w:val="007A7811"/>
    <w:rsid w:val="007B26EB"/>
    <w:rsid w:val="007B5463"/>
    <w:rsid w:val="007C3BBF"/>
    <w:rsid w:val="008415C6"/>
    <w:rsid w:val="00870217"/>
    <w:rsid w:val="00870A65"/>
    <w:rsid w:val="008873A5"/>
    <w:rsid w:val="008A6E6A"/>
    <w:rsid w:val="008C5BEF"/>
    <w:rsid w:val="008C639E"/>
    <w:rsid w:val="008E2F08"/>
    <w:rsid w:val="008F7847"/>
    <w:rsid w:val="009001D6"/>
    <w:rsid w:val="00924D30"/>
    <w:rsid w:val="0092667C"/>
    <w:rsid w:val="00934C3A"/>
    <w:rsid w:val="00973F4D"/>
    <w:rsid w:val="00A204EF"/>
    <w:rsid w:val="00A26F98"/>
    <w:rsid w:val="00A37598"/>
    <w:rsid w:val="00A473A6"/>
    <w:rsid w:val="00AA0C74"/>
    <w:rsid w:val="00AE746F"/>
    <w:rsid w:val="00B04F33"/>
    <w:rsid w:val="00B43EA1"/>
    <w:rsid w:val="00B94BCF"/>
    <w:rsid w:val="00BE23B9"/>
    <w:rsid w:val="00C13AEE"/>
    <w:rsid w:val="00C37030"/>
    <w:rsid w:val="00C827B4"/>
    <w:rsid w:val="00CA3C75"/>
    <w:rsid w:val="00CA51F6"/>
    <w:rsid w:val="00CA7864"/>
    <w:rsid w:val="00CE1292"/>
    <w:rsid w:val="00CF0DE6"/>
    <w:rsid w:val="00D30E1F"/>
    <w:rsid w:val="00D42F8D"/>
    <w:rsid w:val="00D66A60"/>
    <w:rsid w:val="00D67C94"/>
    <w:rsid w:val="00D97439"/>
    <w:rsid w:val="00DA31E8"/>
    <w:rsid w:val="00DB2AED"/>
    <w:rsid w:val="00DB3770"/>
    <w:rsid w:val="00E05712"/>
    <w:rsid w:val="00E62B5A"/>
    <w:rsid w:val="00E93193"/>
    <w:rsid w:val="00EA15C6"/>
    <w:rsid w:val="00EB0DCC"/>
    <w:rsid w:val="00ED5016"/>
    <w:rsid w:val="00EE61BC"/>
    <w:rsid w:val="00EF5D6A"/>
    <w:rsid w:val="00F06E99"/>
    <w:rsid w:val="00F5211D"/>
    <w:rsid w:val="00F73ACD"/>
    <w:rsid w:val="00F86D48"/>
    <w:rsid w:val="01BE5667"/>
    <w:rsid w:val="024E0209"/>
    <w:rsid w:val="02D05560"/>
    <w:rsid w:val="03DF4F37"/>
    <w:rsid w:val="04BA44CE"/>
    <w:rsid w:val="04BE551A"/>
    <w:rsid w:val="0680559E"/>
    <w:rsid w:val="07231939"/>
    <w:rsid w:val="077D0034"/>
    <w:rsid w:val="07A6656A"/>
    <w:rsid w:val="07DB6591"/>
    <w:rsid w:val="083A4A47"/>
    <w:rsid w:val="085D6DB7"/>
    <w:rsid w:val="08960370"/>
    <w:rsid w:val="08BA49DD"/>
    <w:rsid w:val="08BD6586"/>
    <w:rsid w:val="090C534E"/>
    <w:rsid w:val="0AAA2B3A"/>
    <w:rsid w:val="0BCB1B82"/>
    <w:rsid w:val="0EBE6BB4"/>
    <w:rsid w:val="104C561C"/>
    <w:rsid w:val="120854E2"/>
    <w:rsid w:val="126A178A"/>
    <w:rsid w:val="12CA0621"/>
    <w:rsid w:val="13CD1443"/>
    <w:rsid w:val="143D1E70"/>
    <w:rsid w:val="14C64A14"/>
    <w:rsid w:val="16571DC8"/>
    <w:rsid w:val="16781D3E"/>
    <w:rsid w:val="17D055F0"/>
    <w:rsid w:val="180C6BE2"/>
    <w:rsid w:val="18652FC2"/>
    <w:rsid w:val="1A4A57A0"/>
    <w:rsid w:val="1AEE0821"/>
    <w:rsid w:val="1B2A3322"/>
    <w:rsid w:val="1D7E6BBC"/>
    <w:rsid w:val="1ED90DF6"/>
    <w:rsid w:val="1F6631B3"/>
    <w:rsid w:val="208A4EA9"/>
    <w:rsid w:val="213B2D62"/>
    <w:rsid w:val="227669F6"/>
    <w:rsid w:val="24026726"/>
    <w:rsid w:val="248C2D8B"/>
    <w:rsid w:val="2573204F"/>
    <w:rsid w:val="26413603"/>
    <w:rsid w:val="265B5FD7"/>
    <w:rsid w:val="280C3C41"/>
    <w:rsid w:val="281F64BE"/>
    <w:rsid w:val="28321D4D"/>
    <w:rsid w:val="28520659"/>
    <w:rsid w:val="288F719F"/>
    <w:rsid w:val="29156672"/>
    <w:rsid w:val="2919115F"/>
    <w:rsid w:val="29AE5D4B"/>
    <w:rsid w:val="2C2E3173"/>
    <w:rsid w:val="2DD9710F"/>
    <w:rsid w:val="2E5D4454"/>
    <w:rsid w:val="31350B00"/>
    <w:rsid w:val="31462D0D"/>
    <w:rsid w:val="3C5B588C"/>
    <w:rsid w:val="3C8F39B0"/>
    <w:rsid w:val="3DD8321C"/>
    <w:rsid w:val="3E4C1633"/>
    <w:rsid w:val="3EF35859"/>
    <w:rsid w:val="43B060F0"/>
    <w:rsid w:val="43C82A61"/>
    <w:rsid w:val="44A518EC"/>
    <w:rsid w:val="45F607E6"/>
    <w:rsid w:val="48FA020D"/>
    <w:rsid w:val="493027F1"/>
    <w:rsid w:val="49747076"/>
    <w:rsid w:val="4A5166FB"/>
    <w:rsid w:val="4A7B3E41"/>
    <w:rsid w:val="4B29302C"/>
    <w:rsid w:val="4B6B4C49"/>
    <w:rsid w:val="4B704027"/>
    <w:rsid w:val="4DCA69F7"/>
    <w:rsid w:val="50FB3D83"/>
    <w:rsid w:val="51303345"/>
    <w:rsid w:val="52A40FF2"/>
    <w:rsid w:val="54AE6FC2"/>
    <w:rsid w:val="57E43EB2"/>
    <w:rsid w:val="5A157032"/>
    <w:rsid w:val="5B7179CB"/>
    <w:rsid w:val="5C3C317D"/>
    <w:rsid w:val="5CEC5C67"/>
    <w:rsid w:val="5DE24C96"/>
    <w:rsid w:val="5FCE1C8D"/>
    <w:rsid w:val="607D37A6"/>
    <w:rsid w:val="631F0B45"/>
    <w:rsid w:val="64243F39"/>
    <w:rsid w:val="6678442C"/>
    <w:rsid w:val="682E182A"/>
    <w:rsid w:val="6A317D79"/>
    <w:rsid w:val="6A48091F"/>
    <w:rsid w:val="6A5B692F"/>
    <w:rsid w:val="6B38054A"/>
    <w:rsid w:val="6BFC3B8E"/>
    <w:rsid w:val="70A7195F"/>
    <w:rsid w:val="717A163C"/>
    <w:rsid w:val="719C5A56"/>
    <w:rsid w:val="73775283"/>
    <w:rsid w:val="739F538A"/>
    <w:rsid w:val="75323DA2"/>
    <w:rsid w:val="77550873"/>
    <w:rsid w:val="7B2F3497"/>
    <w:rsid w:val="7B4C1F51"/>
    <w:rsid w:val="7EBA64E2"/>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4"/>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spacing w:before="181"/>
      <w:ind w:left="112"/>
      <w:jc w:val="left"/>
    </w:pPr>
    <w:rPr>
      <w:rFonts w:ascii="微软雅黑" w:hAnsi="微软雅黑" w:eastAsia="微软雅黑" w:cs="微软雅黑"/>
      <w:kern w:val="0"/>
      <w:sz w:val="24"/>
      <w:szCs w:val="24"/>
      <w:lang w:val="zh-CN" w:bidi="zh-CN"/>
    </w:r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标题 3 字符"/>
    <w:basedOn w:val="9"/>
    <w:link w:val="2"/>
    <w:qFormat/>
    <w:uiPriority w:val="0"/>
    <w:rPr>
      <w:rFonts w:ascii="Times New Roman" w:hAnsi="Times New Roman" w:eastAsia="宋体" w:cs="Times New Roman"/>
      <w:b/>
      <w:sz w:val="32"/>
      <w:szCs w:val="24"/>
    </w:rPr>
  </w:style>
  <w:style w:type="character" w:customStyle="1" w:styleId="15">
    <w:name w:val="正文文本 字符"/>
    <w:basedOn w:val="9"/>
    <w:link w:val="3"/>
    <w:qFormat/>
    <w:uiPriority w:val="1"/>
    <w:rPr>
      <w:rFonts w:ascii="微软雅黑" w:hAnsi="微软雅黑" w:eastAsia="微软雅黑" w:cs="微软雅黑"/>
      <w:kern w:val="0"/>
      <w:sz w:val="24"/>
      <w:szCs w:val="24"/>
      <w:lang w:val="zh-CN" w:bidi="zh-CN"/>
    </w:rPr>
  </w:style>
  <w:style w:type="character" w:customStyle="1" w:styleId="16">
    <w:name w:val="批注框文本 字符"/>
    <w:basedOn w:val="9"/>
    <w:link w:val="4"/>
    <w:semiHidden/>
    <w:qFormat/>
    <w:uiPriority w:val="99"/>
    <w:rPr>
      <w:sz w:val="18"/>
      <w:szCs w:val="18"/>
    </w:rPr>
  </w:style>
  <w:style w:type="paragraph" w:customStyle="1" w:styleId="17">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5C68F-5E77-4E36-B6ED-247EAF55C5E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1051</Words>
  <Characters>1187</Characters>
  <Lines>125</Lines>
  <Paragraphs>79</Paragraphs>
  <TotalTime>4</TotalTime>
  <ScaleCrop>false</ScaleCrop>
  <LinksUpToDate>false</LinksUpToDate>
  <CharactersWithSpaces>1214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2026-08-26T07:43:00Z</dcterms:created>
  <dc:creator>freeuser</dc:creator>
  <cp:lastModifiedBy>Lc</cp:lastModifiedBy>
  <cp:lastPrinted>2024-12-10T03:45:00Z</cp:lastPrinted>
  <dcterms:modified xsi:type="dcterms:W3CDTF">2026-08-27T13:24:05Z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4D5914C5074A45A3861D21F8EB54BC43_13</vt:lpwstr>
  </property>
  <property fmtid="{D5CDD505-2E9C-101B-9397-08002B2CF9AE}" pid="4" name="KSOTemplateDocerSaveRecord">
    <vt:lpwstr>eyJoZGlkIjoiMWQxNGFlZTZjZDRmMDg1OWE5N2NhZTAxZTU4NzcxMjkiLCJ1c2VySWQiOiI5NzQzMDM5MTEifQ==</vt:lpwstr>
  </property>
</Properties>
</file>